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0460CDA9"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37453E">
        <w:rPr>
          <w:bCs/>
          <w:noProof w:val="0"/>
          <w:sz w:val="24"/>
          <w:szCs w:val="24"/>
        </w:rPr>
        <w:t>6</w:t>
      </w:r>
      <w:r w:rsidRPr="00B266B0">
        <w:rPr>
          <w:bCs/>
          <w:noProof w:val="0"/>
          <w:sz w:val="24"/>
          <w:szCs w:val="24"/>
        </w:rPr>
        <w:tab/>
      </w:r>
      <w:r w:rsidR="00B50369">
        <w:rPr>
          <w:bCs/>
          <w:noProof w:val="0"/>
          <w:sz w:val="24"/>
          <w:szCs w:val="24"/>
        </w:rPr>
        <w:t>R2-2</w:t>
      </w:r>
      <w:r w:rsidR="00F74086">
        <w:rPr>
          <w:bCs/>
          <w:noProof w:val="0"/>
          <w:sz w:val="24"/>
          <w:szCs w:val="24"/>
        </w:rPr>
        <w:t>4</w:t>
      </w:r>
      <w:r w:rsidR="00646509">
        <w:rPr>
          <w:bCs/>
          <w:noProof w:val="0"/>
          <w:sz w:val="24"/>
          <w:szCs w:val="24"/>
        </w:rPr>
        <w:t>0</w:t>
      </w:r>
      <w:r w:rsidR="004E01EC">
        <w:rPr>
          <w:bCs/>
          <w:noProof w:val="0"/>
          <w:sz w:val="24"/>
          <w:szCs w:val="24"/>
        </w:rPr>
        <w:t>5153</w:t>
      </w:r>
    </w:p>
    <w:p w14:paraId="11776FA6" w14:textId="27E5480A" w:rsidR="00A209D6" w:rsidRPr="00465587" w:rsidRDefault="0037453E" w:rsidP="00A209D6">
      <w:pPr>
        <w:pStyle w:val="Header"/>
        <w:tabs>
          <w:tab w:val="right" w:pos="9639"/>
        </w:tabs>
        <w:rPr>
          <w:bCs/>
          <w:sz w:val="24"/>
          <w:szCs w:val="24"/>
          <w:lang w:eastAsia="zh-CN"/>
        </w:rPr>
      </w:pPr>
      <w:r>
        <w:rPr>
          <w:bCs/>
          <w:sz w:val="24"/>
          <w:szCs w:val="24"/>
          <w:lang w:eastAsia="zh-CN"/>
        </w:rPr>
        <w:t>Fukuoka, Japan</w:t>
      </w:r>
      <w:r w:rsidR="003C2C5D">
        <w:rPr>
          <w:bCs/>
          <w:sz w:val="24"/>
          <w:szCs w:val="24"/>
          <w:lang w:eastAsia="zh-CN"/>
        </w:rPr>
        <w:t xml:space="preserve">, </w:t>
      </w:r>
      <w:r>
        <w:rPr>
          <w:bCs/>
          <w:sz w:val="24"/>
          <w:szCs w:val="24"/>
          <w:lang w:eastAsia="zh-CN"/>
        </w:rPr>
        <w:t>20</w:t>
      </w:r>
      <w:r w:rsidR="00F03594">
        <w:rPr>
          <w:bCs/>
          <w:sz w:val="24"/>
          <w:szCs w:val="24"/>
          <w:vertAlign w:val="superscript"/>
          <w:lang w:eastAsia="zh-CN"/>
        </w:rPr>
        <w:t>t</w:t>
      </w:r>
      <w:r w:rsidR="00BF0764">
        <w:rPr>
          <w:bCs/>
          <w:sz w:val="24"/>
          <w:szCs w:val="24"/>
          <w:vertAlign w:val="superscript"/>
          <w:lang w:eastAsia="zh-CN"/>
        </w:rPr>
        <w:t>h</w:t>
      </w:r>
      <w:r w:rsidR="00F03594">
        <w:rPr>
          <w:bCs/>
          <w:sz w:val="24"/>
          <w:szCs w:val="24"/>
          <w:vertAlign w:val="superscript"/>
          <w:lang w:eastAsia="zh-CN"/>
        </w:rPr>
        <w:t xml:space="preserve"> </w:t>
      </w:r>
      <w:r>
        <w:rPr>
          <w:bCs/>
          <w:sz w:val="24"/>
          <w:szCs w:val="24"/>
          <w:lang w:eastAsia="zh-CN"/>
        </w:rPr>
        <w:t>May</w:t>
      </w:r>
      <w:r w:rsidR="00646509">
        <w:rPr>
          <w:bCs/>
          <w:sz w:val="24"/>
          <w:szCs w:val="24"/>
          <w:lang w:eastAsia="zh-CN"/>
        </w:rPr>
        <w:t xml:space="preserve"> – </w:t>
      </w:r>
      <w:r>
        <w:rPr>
          <w:bCs/>
          <w:sz w:val="24"/>
          <w:szCs w:val="24"/>
          <w:lang w:eastAsia="zh-CN"/>
        </w:rPr>
        <w:t>24</w:t>
      </w:r>
      <w:r w:rsidR="00F74086" w:rsidRPr="00F74086">
        <w:rPr>
          <w:bCs/>
          <w:sz w:val="24"/>
          <w:szCs w:val="24"/>
          <w:vertAlign w:val="superscript"/>
          <w:lang w:eastAsia="zh-CN"/>
        </w:rPr>
        <w:t>th</w:t>
      </w:r>
      <w:r>
        <w:rPr>
          <w:bCs/>
          <w:sz w:val="24"/>
          <w:szCs w:val="24"/>
          <w:lang w:eastAsia="zh-CN"/>
        </w:rPr>
        <w:t xml:space="preserve"> May</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E451B9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90EA3">
        <w:rPr>
          <w:rFonts w:cs="Arial"/>
          <w:b/>
          <w:bCs/>
          <w:sz w:val="24"/>
        </w:rPr>
        <w:t>8.9.2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678D100"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725FDD">
        <w:rPr>
          <w:rFonts w:eastAsia="SimSun"/>
          <w:b/>
          <w:bCs/>
          <w:sz w:val="24"/>
          <w:szCs w:val="20"/>
          <w:lang w:val="en-GB" w:eastAsia="en-US"/>
        </w:rPr>
        <w:t xml:space="preserve">On </w:t>
      </w:r>
      <w:r w:rsidR="00490EA3">
        <w:rPr>
          <w:rFonts w:eastAsia="SimSun"/>
          <w:b/>
          <w:bCs/>
          <w:sz w:val="24"/>
          <w:szCs w:val="20"/>
          <w:lang w:val="en-GB" w:eastAsia="en-US"/>
        </w:rPr>
        <w:t>RAN2 aspects on Store and Forward</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5564544A" w:rsidR="00F61EF6" w:rsidRDefault="0049280D" w:rsidP="00F61EF6">
      <w:r>
        <w:t>In RAN#10</w:t>
      </w:r>
      <w:r w:rsidR="00B964C2">
        <w:t>3</w:t>
      </w:r>
      <w:r>
        <w:t xml:space="preserve"> the latest WID for IoT NTN Phase 3 is provided [</w:t>
      </w:r>
      <w:r w:rsidR="00C20827">
        <w:t>1</w:t>
      </w:r>
      <w:r>
        <w:t xml:space="preserve">]: </w:t>
      </w:r>
      <w:r w:rsidR="00C702D5">
        <w:t xml:space="preserve"> </w:t>
      </w:r>
      <w:r w:rsidR="00F61EF6">
        <w:t xml:space="preserve">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7107F0DB" w14:textId="77777777" w:rsidR="0049280D" w:rsidRPr="0077358C" w:rsidRDefault="0049280D" w:rsidP="00542AB5">
            <w:pPr>
              <w:numPr>
                <w:ilvl w:val="0"/>
                <w:numId w:val="42"/>
              </w:numPr>
              <w:overflowPunct w:val="0"/>
              <w:autoSpaceDE w:val="0"/>
              <w:autoSpaceDN w:val="0"/>
              <w:adjustRightInd w:val="0"/>
              <w:spacing w:before="120" w:after="60"/>
              <w:ind w:left="714" w:hanging="357"/>
              <w:textAlignment w:val="baseline"/>
              <w:rPr>
                <w:bCs/>
              </w:rPr>
            </w:pPr>
            <w:r w:rsidRPr="00702D0A">
              <w:rPr>
                <w:bCs/>
              </w:rPr>
              <w:t xml:space="preserve">Support of </w:t>
            </w:r>
            <w:bookmarkStart w:id="0" w:name="OLE_LINK13"/>
            <w:r w:rsidRPr="00702D0A">
              <w:rPr>
                <w:bCs/>
              </w:rPr>
              <w:t>Store&amp;Forward (S&amp;F)</w:t>
            </w:r>
            <w:bookmarkEnd w:id="0"/>
            <w:r w:rsidRPr="00702D0A">
              <w:rPr>
                <w:bCs/>
              </w:rPr>
              <w:t xml:space="preserve"> satellite operation with full eNB as regenerative payload, therefore:</w:t>
            </w:r>
          </w:p>
          <w:p w14:paraId="58AFF519" w14:textId="77777777" w:rsidR="0049280D" w:rsidRPr="00702D0A" w:rsidRDefault="0049280D" w:rsidP="0049280D">
            <w:pPr>
              <w:numPr>
                <w:ilvl w:val="1"/>
                <w:numId w:val="42"/>
              </w:numPr>
              <w:overflowPunct w:val="0"/>
              <w:autoSpaceDE w:val="0"/>
              <w:autoSpaceDN w:val="0"/>
              <w:adjustRightInd w:val="0"/>
              <w:spacing w:after="60"/>
              <w:textAlignment w:val="baseline"/>
              <w:rPr>
                <w:bCs/>
              </w:rPr>
            </w:pPr>
            <w:r w:rsidRPr="00702D0A">
              <w:rPr>
                <w:bCs/>
              </w:rPr>
              <w:t>Define the necessary enhancements into E-UTRAN (network &amp; UE) to support S&amp;F operation for delay-tolerant services [RAN3, RAN2]</w:t>
            </w:r>
          </w:p>
          <w:p w14:paraId="3C59BE33" w14:textId="4BB6B531" w:rsidR="0049280D" w:rsidRPr="0049280D" w:rsidRDefault="0049280D" w:rsidP="0049280D">
            <w:pPr>
              <w:numPr>
                <w:ilvl w:val="2"/>
                <w:numId w:val="42"/>
              </w:numPr>
              <w:overflowPunct w:val="0"/>
              <w:autoSpaceDE w:val="0"/>
              <w:autoSpaceDN w:val="0"/>
              <w:adjustRightInd w:val="0"/>
              <w:spacing w:after="60"/>
              <w:textAlignment w:val="baseline"/>
              <w:rPr>
                <w:bCs/>
              </w:rPr>
            </w:pPr>
            <w:r w:rsidRPr="00702D0A">
              <w:rPr>
                <w:bCs/>
              </w:rPr>
              <w:t>At least specify necessary enhancements e.g. related to S1 protocol, especially to address the feeder link switch over as needed [RAN3]</w:t>
            </w:r>
          </w:p>
          <w:p w14:paraId="610B66AF" w14:textId="5043E15B" w:rsidR="0049280D" w:rsidRPr="00702D0A" w:rsidRDefault="0049280D" w:rsidP="0049280D">
            <w:pPr>
              <w:spacing w:after="60"/>
              <w:ind w:left="720"/>
              <w:rPr>
                <w:bCs/>
              </w:rPr>
            </w:pPr>
            <w:r w:rsidRPr="00702D0A">
              <w:rPr>
                <w:bCs/>
              </w:rPr>
              <w:t>Note: Strive to minimise UE impact.</w:t>
            </w:r>
          </w:p>
          <w:p w14:paraId="037D8673" w14:textId="6D659AED" w:rsidR="0049280D" w:rsidRDefault="0049280D" w:rsidP="0049280D">
            <w:pPr>
              <w:spacing w:after="6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019B93F7" w14:textId="7BD3E4C9" w:rsidR="0049280D" w:rsidRPr="00702D0A" w:rsidRDefault="0049280D" w:rsidP="0049280D">
            <w:pPr>
              <w:numPr>
                <w:ilvl w:val="0"/>
                <w:numId w:val="42"/>
              </w:numPr>
              <w:overflowPunct w:val="0"/>
              <w:autoSpaceDE w:val="0"/>
              <w:autoSpaceDN w:val="0"/>
              <w:adjustRightInd w:val="0"/>
              <w:spacing w:after="60"/>
              <w:textAlignment w:val="baseline"/>
              <w:rPr>
                <w:bCs/>
              </w:rPr>
            </w:pPr>
            <w:r w:rsidRPr="00702D0A">
              <w:rPr>
                <w:bCs/>
              </w:rPr>
              <w:t>Support of Capacity enhancements for uplink</w:t>
            </w:r>
          </w:p>
          <w:p w14:paraId="2A7FB778" w14:textId="67C232F1" w:rsidR="0049280D" w:rsidRPr="0049280D" w:rsidRDefault="0049280D" w:rsidP="0049280D">
            <w:pPr>
              <w:numPr>
                <w:ilvl w:val="1"/>
                <w:numId w:val="42"/>
              </w:numPr>
              <w:overflowPunct w:val="0"/>
              <w:autoSpaceDE w:val="0"/>
              <w:autoSpaceDN w:val="0"/>
              <w:adjustRightInd w:val="0"/>
              <w:spacing w:after="60"/>
              <w:textAlignment w:val="baseline"/>
              <w:rPr>
                <w:bCs/>
              </w:rPr>
            </w:pPr>
            <w:r w:rsidRPr="00702D0A">
              <w:rPr>
                <w:bCs/>
              </w:rPr>
              <w:t xml:space="preserve">Study then specify, if beneficial, enhancements to enable </w:t>
            </w:r>
            <w:bookmarkStart w:id="1" w:name="OLE_LINK16"/>
            <w:r w:rsidRPr="00702D0A">
              <w:rPr>
                <w:bCs/>
              </w:rPr>
              <w:t xml:space="preserve">multiplexing of multiple UEs </w:t>
            </w:r>
            <w:bookmarkEnd w:id="1"/>
            <w:r w:rsidRPr="00702D0A">
              <w:rPr>
                <w:bCs/>
              </w:rPr>
              <w:t>(e.g. up to the min of 4 and the maximum allowed by the existing UL and DL signalling) in a single 3.75 kHz or 15 kHz subcarrier via orthogonal cover codes (</w:t>
            </w:r>
            <w:bookmarkStart w:id="2" w:name="OLE_LINK15"/>
            <w:r w:rsidRPr="00702D0A">
              <w:rPr>
                <w:bCs/>
              </w:rPr>
              <w:t>OCC</w:t>
            </w:r>
            <w:bookmarkEnd w:id="2"/>
            <w:r w:rsidRPr="00702D0A">
              <w:rPr>
                <w:bCs/>
              </w:rPr>
              <w:t>) for NPUSCH format 1 and NPRACH [RAN1, RAN2</w:t>
            </w:r>
            <w:r>
              <w:rPr>
                <w:bCs/>
              </w:rPr>
              <w:t>, RAN4</w:t>
            </w:r>
            <w:r w:rsidRPr="00702D0A">
              <w:rPr>
                <w:bCs/>
              </w:rPr>
              <w:t>]</w:t>
            </w:r>
          </w:p>
          <w:p w14:paraId="00AE4832" w14:textId="77777777" w:rsidR="0049280D" w:rsidRDefault="0049280D" w:rsidP="0049280D">
            <w:pPr>
              <w:numPr>
                <w:ilvl w:val="2"/>
                <w:numId w:val="42"/>
              </w:numPr>
              <w:overflowPunct w:val="0"/>
              <w:autoSpaceDE w:val="0"/>
              <w:autoSpaceDN w:val="0"/>
              <w:adjustRightInd w:val="0"/>
              <w:spacing w:after="60"/>
              <w:textAlignment w:val="baseline"/>
              <w:rPr>
                <w:bCs/>
              </w:rPr>
            </w:pPr>
            <w:r w:rsidRPr="00702D0A">
              <w:rPr>
                <w:bCs/>
              </w:rPr>
              <w:t>Multi-tone support for 15 kHz SCS should also be considered</w:t>
            </w:r>
          </w:p>
          <w:p w14:paraId="39145239" w14:textId="77777777" w:rsidR="0049280D" w:rsidRPr="00EC6A26" w:rsidRDefault="0049280D" w:rsidP="0049280D">
            <w:pPr>
              <w:numPr>
                <w:ilvl w:val="2"/>
                <w:numId w:val="42"/>
              </w:numPr>
              <w:overflowPunct w:val="0"/>
              <w:autoSpaceDE w:val="0"/>
              <w:autoSpaceDN w:val="0"/>
              <w:adjustRightInd w:val="0"/>
              <w:spacing w:after="60"/>
              <w:textAlignment w:val="baseline"/>
              <w:rPr>
                <w:bCs/>
              </w:rPr>
            </w:pPr>
            <w:r w:rsidRPr="00EC6A26">
              <w:rPr>
                <w:bCs/>
              </w:rPr>
              <w:t xml:space="preserve">Specify necessary signalling, if needed </w:t>
            </w:r>
          </w:p>
          <w:p w14:paraId="1D1E1AEE" w14:textId="6B7D91CE" w:rsidR="0049280D" w:rsidRPr="0049280D" w:rsidRDefault="0049280D" w:rsidP="0049280D">
            <w:pPr>
              <w:numPr>
                <w:ilvl w:val="2"/>
                <w:numId w:val="42"/>
              </w:numPr>
              <w:overflowPunct w:val="0"/>
              <w:autoSpaceDE w:val="0"/>
              <w:autoSpaceDN w:val="0"/>
              <w:adjustRightInd w:val="0"/>
              <w:spacing w:after="60"/>
              <w:textAlignment w:val="baseline"/>
              <w:rPr>
                <w:bCs/>
              </w:rPr>
            </w:pPr>
            <w:r w:rsidRPr="00EC6A26">
              <w:rPr>
                <w:bCs/>
              </w:rPr>
              <w:t>Update RF requirements accordingly, if needed</w:t>
            </w:r>
          </w:p>
          <w:p w14:paraId="318F711F" w14:textId="361A276C" w:rsidR="0049280D" w:rsidRPr="0049280D" w:rsidRDefault="0049280D" w:rsidP="0049280D">
            <w:pPr>
              <w:spacing w:after="60"/>
              <w:ind w:left="1080" w:firstLine="720"/>
              <w:rPr>
                <w:bCs/>
              </w:rPr>
            </w:pPr>
            <w:r w:rsidRPr="00947442">
              <w:rPr>
                <w:bCs/>
              </w:rPr>
              <w:t>Note: Impact of impairment shall be taken into account</w:t>
            </w:r>
          </w:p>
          <w:p w14:paraId="66F3716D" w14:textId="77777777" w:rsidR="0049280D" w:rsidRPr="00EE0477" w:rsidRDefault="0049280D" w:rsidP="0049280D">
            <w:pPr>
              <w:numPr>
                <w:ilvl w:val="1"/>
                <w:numId w:val="42"/>
              </w:numPr>
              <w:overflowPunct w:val="0"/>
              <w:autoSpaceDE w:val="0"/>
              <w:autoSpaceDN w:val="0"/>
              <w:adjustRightInd w:val="0"/>
              <w:spacing w:after="6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3" w:name="OLE_LINK26"/>
            <w:r w:rsidRPr="00EE0477">
              <w:rPr>
                <w:bCs/>
              </w:rPr>
              <w:t xml:space="preserve">reduce the necessary uplink and downlink signaling to complete an </w:t>
            </w:r>
            <w:bookmarkStart w:id="4" w:name="OLE_LINK14"/>
            <w:r w:rsidRPr="003069A7">
              <w:rPr>
                <w:bCs/>
              </w:rPr>
              <w:t>Early Data Transmission</w:t>
            </w:r>
            <w:r>
              <w:rPr>
                <w:bCs/>
              </w:rPr>
              <w:t xml:space="preserve"> </w:t>
            </w:r>
            <w:bookmarkEnd w:id="4"/>
            <w:r>
              <w:rPr>
                <w:bCs/>
              </w:rPr>
              <w:t>(</w:t>
            </w:r>
            <w:r w:rsidRPr="00EE0477">
              <w:rPr>
                <w:bCs/>
              </w:rPr>
              <w:t>EDT</w:t>
            </w:r>
            <w:r>
              <w:rPr>
                <w:bCs/>
              </w:rPr>
              <w:t>)</w:t>
            </w:r>
            <w:r w:rsidRPr="00EE0477">
              <w:rPr>
                <w:bCs/>
              </w:rPr>
              <w:t xml:space="preserve"> transaction</w:t>
            </w:r>
            <w:r w:rsidRPr="00702D0A">
              <w:rPr>
                <w:bCs/>
              </w:rPr>
              <w:t xml:space="preserve"> </w:t>
            </w:r>
            <w:bookmarkEnd w:id="3"/>
            <w:r w:rsidRPr="00702D0A">
              <w:rPr>
                <w:bCs/>
              </w:rPr>
              <w:t>[RAN2]</w:t>
            </w:r>
            <w:r w:rsidRPr="00EE0477">
              <w:rPr>
                <w:bCs/>
              </w:rPr>
              <w:t>:</w:t>
            </w:r>
          </w:p>
          <w:p w14:paraId="24534129" w14:textId="77777777" w:rsidR="0049280D" w:rsidRPr="00EE0477" w:rsidRDefault="0049280D" w:rsidP="0049280D">
            <w:pPr>
              <w:numPr>
                <w:ilvl w:val="2"/>
                <w:numId w:val="42"/>
              </w:numPr>
              <w:overflowPunct w:val="0"/>
              <w:autoSpaceDE w:val="0"/>
              <w:autoSpaceDN w:val="0"/>
              <w:adjustRightInd w:val="0"/>
              <w:spacing w:after="6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3F5AE005" w14:textId="19CD3446" w:rsidR="00C702D5" w:rsidRPr="0049280D" w:rsidRDefault="0049280D" w:rsidP="0049280D">
            <w:pPr>
              <w:numPr>
                <w:ilvl w:val="2"/>
                <w:numId w:val="42"/>
              </w:numPr>
              <w:overflowPunct w:val="0"/>
              <w:autoSpaceDE w:val="0"/>
              <w:autoSpaceDN w:val="0"/>
              <w:adjustRightInd w:val="0"/>
              <w:spacing w:after="60"/>
              <w:textAlignment w:val="baseline"/>
              <w:rPr>
                <w:bCs/>
              </w:rPr>
            </w:pPr>
            <w:r w:rsidRPr="00EE0477">
              <w:rPr>
                <w:bCs/>
              </w:rPr>
              <w:t>Efficient delivery (reduced overhead) of msg4 / RRCEarlyDataComplete</w:t>
            </w:r>
          </w:p>
        </w:tc>
      </w:tr>
    </w:tbl>
    <w:p w14:paraId="2F01C903" w14:textId="0A5BFFC2" w:rsidR="00C25AEA" w:rsidRDefault="00C25AEA" w:rsidP="00F00A10"/>
    <w:p w14:paraId="66CEE32F" w14:textId="01EB7CD4" w:rsidR="00F00A10" w:rsidRPr="00F97E01" w:rsidRDefault="00C702D5" w:rsidP="00F00A10">
      <w:pPr>
        <w:rPr>
          <w:lang w:eastAsia="ko-KR"/>
        </w:rPr>
      </w:pPr>
      <w:r>
        <w:t xml:space="preserve">In this contribution, </w:t>
      </w:r>
      <w:r w:rsidR="007C5B71">
        <w:t xml:space="preserve">we provide some initial discussions </w:t>
      </w:r>
      <w:r w:rsidR="00B519B8">
        <w:t>on the objective of Store and Forward</w:t>
      </w:r>
      <w:r w:rsidR="007C5B71">
        <w:t>.</w:t>
      </w:r>
      <w:r w:rsidR="00B519B8">
        <w:t xml:space="preserve"> </w:t>
      </w:r>
      <w:r w:rsidR="007C5B71">
        <w:t xml:space="preserve"> </w:t>
      </w:r>
      <w:r>
        <w:t xml:space="preserve"> </w:t>
      </w:r>
    </w:p>
    <w:p w14:paraId="07888F30" w14:textId="182F2B87" w:rsidR="003E45E3" w:rsidRPr="00BB2496" w:rsidRDefault="00DC6A61" w:rsidP="003E45E3">
      <w:pPr>
        <w:pStyle w:val="Heading1"/>
      </w:pPr>
      <w:r>
        <w:t>Discussion</w:t>
      </w:r>
    </w:p>
    <w:p w14:paraId="7A9817D2" w14:textId="63B0C301" w:rsidR="003E45E3" w:rsidRDefault="003E45E3" w:rsidP="00AF4DB9">
      <w:pPr>
        <w:pStyle w:val="PatentBody"/>
        <w:numPr>
          <w:ilvl w:val="0"/>
          <w:numId w:val="0"/>
        </w:numPr>
        <w:spacing w:after="180" w:line="240" w:lineRule="auto"/>
        <w:jc w:val="both"/>
        <w:rPr>
          <w:sz w:val="20"/>
        </w:rPr>
      </w:pPr>
    </w:p>
    <w:p w14:paraId="6DB675FF" w14:textId="1616162B" w:rsidR="007C5B71" w:rsidRDefault="007C5B71" w:rsidP="007C5B71">
      <w:pPr>
        <w:pStyle w:val="Heading2"/>
      </w:pPr>
      <w:r>
        <w:t>Basic scenario</w:t>
      </w:r>
    </w:p>
    <w:p w14:paraId="6F441B4F" w14:textId="65FDAB53" w:rsidR="00033328" w:rsidRDefault="00B519B8" w:rsidP="00AF4DB9">
      <w:pPr>
        <w:pStyle w:val="PatentBody"/>
        <w:numPr>
          <w:ilvl w:val="0"/>
          <w:numId w:val="0"/>
        </w:numPr>
        <w:spacing w:after="180" w:line="240" w:lineRule="auto"/>
        <w:jc w:val="both"/>
        <w:rPr>
          <w:sz w:val="20"/>
        </w:rPr>
      </w:pPr>
      <w:r>
        <w:rPr>
          <w:sz w:val="20"/>
        </w:rPr>
        <w:t xml:space="preserve">The basic assumption of baseline IoT NTN and NR NTN is that full radio and core access is always provided via the transparent satellite. As an enhancement in IoT NTN Rel-18, methods were also specified whereby access (via NTN) would not always be provided – so-called discontinuous coverage. The methods allow a UE </w:t>
      </w:r>
      <w:r>
        <w:rPr>
          <w:sz w:val="20"/>
        </w:rPr>
        <w:lastRenderedPageBreak/>
        <w:t xml:space="preserve">to not waste power to perform idle mode procedures when there is no coverage provided by any satellites. This effectively allows a satellite network with a smaller amount of satellites than what would otherwise be needed to provide continuous coverage. </w:t>
      </w:r>
      <w:r w:rsidR="00DF478D">
        <w:rPr>
          <w:sz w:val="20"/>
        </w:rPr>
        <w:t xml:space="preserve">As an extreme example, only a single LEO satellite could potentially provide service, versus the 66 LEO satellites that is generally quoted as the minimum number that would be required in a LEO constellation at 600 km altitude. </w:t>
      </w:r>
    </w:p>
    <w:p w14:paraId="7464AB98" w14:textId="77777777" w:rsidR="0025487E" w:rsidRDefault="00AD6A7F" w:rsidP="00AF4DB9">
      <w:pPr>
        <w:pStyle w:val="PatentBody"/>
        <w:numPr>
          <w:ilvl w:val="0"/>
          <w:numId w:val="0"/>
        </w:numPr>
        <w:spacing w:after="180" w:line="240" w:lineRule="auto"/>
        <w:jc w:val="both"/>
        <w:rPr>
          <w:sz w:val="20"/>
        </w:rPr>
      </w:pPr>
      <w:r>
        <w:rPr>
          <w:sz w:val="20"/>
        </w:rPr>
        <w:t xml:space="preserve">However, even for </w:t>
      </w:r>
      <w:r w:rsidR="006D1E7E">
        <w:rPr>
          <w:sz w:val="20"/>
        </w:rPr>
        <w:t xml:space="preserve">discontinuous coverage it is assumed that there are enough ground gateways, i.e eNBs on the ground that can provide satellite coverage. In Store and Forward, it is assumed that there may not be enough ground gateways, but that the satellite shall still provide connectivity. </w:t>
      </w:r>
    </w:p>
    <w:p w14:paraId="5A47A667" w14:textId="211A961C" w:rsidR="003017C6" w:rsidRDefault="00A65054" w:rsidP="003017C6">
      <w:pPr>
        <w:pStyle w:val="PatentBody"/>
        <w:keepNext/>
        <w:numPr>
          <w:ilvl w:val="0"/>
          <w:numId w:val="0"/>
        </w:numPr>
        <w:spacing w:after="180" w:line="240" w:lineRule="auto"/>
        <w:jc w:val="both"/>
      </w:pPr>
      <w:r>
        <w:pict w14:anchorId="4EEF5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4pt;height:183.35pt">
            <v:imagedata r:id="rId8" o:title="Figure 1"/>
          </v:shape>
        </w:pict>
      </w:r>
    </w:p>
    <w:p w14:paraId="1003D997" w14:textId="16632B5D" w:rsidR="0025487E" w:rsidRPr="003017C6" w:rsidRDefault="003017C6" w:rsidP="003017C6">
      <w:pPr>
        <w:pStyle w:val="Caption"/>
        <w:jc w:val="center"/>
        <w:rPr>
          <w:i w:val="0"/>
          <w:color w:val="auto"/>
          <w:sz w:val="20"/>
        </w:rPr>
      </w:pPr>
      <w:r w:rsidRPr="003017C6">
        <w:rPr>
          <w:i w:val="0"/>
          <w:color w:val="auto"/>
        </w:rPr>
        <w:t xml:space="preserve">Figure </w:t>
      </w:r>
      <w:r w:rsidRPr="003017C6">
        <w:rPr>
          <w:i w:val="0"/>
          <w:color w:val="auto"/>
        </w:rPr>
        <w:fldChar w:fldCharType="begin"/>
      </w:r>
      <w:r w:rsidRPr="003017C6">
        <w:rPr>
          <w:i w:val="0"/>
          <w:color w:val="auto"/>
        </w:rPr>
        <w:instrText xml:space="preserve"> SEQ Figure \* ARABIC </w:instrText>
      </w:r>
      <w:r w:rsidRPr="003017C6">
        <w:rPr>
          <w:i w:val="0"/>
          <w:color w:val="auto"/>
        </w:rPr>
        <w:fldChar w:fldCharType="separate"/>
      </w:r>
      <w:r w:rsidRPr="003017C6">
        <w:rPr>
          <w:i w:val="0"/>
          <w:noProof/>
          <w:color w:val="auto"/>
        </w:rPr>
        <w:t>1</w:t>
      </w:r>
      <w:r w:rsidRPr="003017C6">
        <w:rPr>
          <w:i w:val="0"/>
          <w:color w:val="auto"/>
        </w:rPr>
        <w:fldChar w:fldCharType="end"/>
      </w:r>
      <w:r w:rsidRPr="003017C6">
        <w:rPr>
          <w:i w:val="0"/>
          <w:color w:val="auto"/>
        </w:rPr>
        <w:t>. Different types of NTNs.</w:t>
      </w:r>
    </w:p>
    <w:p w14:paraId="0681D4FA" w14:textId="43D52C56" w:rsidR="0025487E" w:rsidRDefault="00422669" w:rsidP="00AF4DB9">
      <w:pPr>
        <w:pStyle w:val="PatentBody"/>
        <w:numPr>
          <w:ilvl w:val="0"/>
          <w:numId w:val="0"/>
        </w:numPr>
        <w:spacing w:after="180" w:line="240" w:lineRule="auto"/>
        <w:jc w:val="both"/>
        <w:rPr>
          <w:sz w:val="20"/>
        </w:rPr>
      </w:pPr>
      <w:r>
        <w:rPr>
          <w:sz w:val="20"/>
        </w:rPr>
        <w:t>From the above it should be clear that a UE, and by extension a service, o</w:t>
      </w:r>
      <w:r w:rsidR="00921FD2">
        <w:rPr>
          <w:sz w:val="20"/>
        </w:rPr>
        <w:t>perating in an S&amp;F network may</w:t>
      </w:r>
      <w:r>
        <w:rPr>
          <w:sz w:val="20"/>
        </w:rPr>
        <w:t xml:space="preserve"> have to cope with very large delays. In a discontinuous coverage network, a service may also experience large delays. The difference between a discontinuous coverage network and a S&amp;F network is that the delay when the UE has successfully accessed the network will be a lot higher in the S&amp;F network. </w:t>
      </w:r>
    </w:p>
    <w:p w14:paraId="3D3EE491" w14:textId="7F8459F8" w:rsidR="00422669" w:rsidRPr="009607A6" w:rsidRDefault="00422669" w:rsidP="00422669">
      <w:pPr>
        <w:rPr>
          <w:b/>
        </w:rPr>
      </w:pPr>
      <w:r w:rsidRPr="009607A6">
        <w:rPr>
          <w:b/>
        </w:rPr>
        <w:t xml:space="preserve">Observation 1: </w:t>
      </w:r>
      <w:r>
        <w:rPr>
          <w:b/>
        </w:rPr>
        <w:t>The E2E delay in a</w:t>
      </w:r>
      <w:r w:rsidR="003D20BB">
        <w:rPr>
          <w:b/>
        </w:rPr>
        <w:t>n</w:t>
      </w:r>
      <w:r>
        <w:rPr>
          <w:b/>
        </w:rPr>
        <w:t xml:space="preserve"> S&amp;F network may be very large</w:t>
      </w:r>
      <w:r w:rsidRPr="009607A6">
        <w:rPr>
          <w:b/>
        </w:rPr>
        <w:t xml:space="preserve">. </w:t>
      </w:r>
    </w:p>
    <w:p w14:paraId="7F2AC5E6" w14:textId="51A36D9D" w:rsidR="00422669" w:rsidRPr="003E45E3" w:rsidRDefault="003E45E3" w:rsidP="00AF4DB9">
      <w:pPr>
        <w:pStyle w:val="PatentBody"/>
        <w:numPr>
          <w:ilvl w:val="0"/>
          <w:numId w:val="0"/>
        </w:numPr>
        <w:spacing w:after="180" w:line="240" w:lineRule="auto"/>
        <w:jc w:val="both"/>
        <w:rPr>
          <w:rFonts w:eastAsia="SimSun"/>
          <w:sz w:val="20"/>
          <w:lang w:eastAsia="zh-CN"/>
        </w:rPr>
      </w:pPr>
      <w:r>
        <w:rPr>
          <w:sz w:val="20"/>
        </w:rPr>
        <w:t>In the last meeting, there were some key agreements made on for which cases that S</w:t>
      </w:r>
      <w:r>
        <w:rPr>
          <w:rFonts w:eastAsia="SimSun"/>
          <w:sz w:val="20"/>
          <w:lang w:eastAsia="zh-CN"/>
        </w:rPr>
        <w:t xml:space="preserve">&amp;F is supported for: </w:t>
      </w:r>
    </w:p>
    <w:p w14:paraId="2ABBF4F2" w14:textId="77777777" w:rsidR="003E45E3" w:rsidRPr="00A066A8" w:rsidRDefault="003E45E3" w:rsidP="003E45E3">
      <w:pPr>
        <w:pStyle w:val="Doc-text2"/>
        <w:pBdr>
          <w:top w:val="single" w:sz="4" w:space="1" w:color="auto"/>
          <w:left w:val="single" w:sz="4" w:space="4" w:color="auto"/>
          <w:bottom w:val="single" w:sz="4" w:space="1" w:color="auto"/>
          <w:right w:val="single" w:sz="4" w:space="4" w:color="auto"/>
        </w:pBdr>
      </w:pPr>
      <w:r w:rsidRPr="00A066A8">
        <w:t>RAN2 assumptions:</w:t>
      </w:r>
    </w:p>
    <w:p w14:paraId="07B0ADE7" w14:textId="77777777" w:rsidR="003E45E3" w:rsidRPr="00A066A8" w:rsidRDefault="003E45E3" w:rsidP="003E45E3">
      <w:pPr>
        <w:pStyle w:val="Doc-text2"/>
        <w:numPr>
          <w:ilvl w:val="0"/>
          <w:numId w:val="49"/>
        </w:numPr>
        <w:pBdr>
          <w:top w:val="single" w:sz="4" w:space="1" w:color="auto"/>
          <w:left w:val="single" w:sz="4" w:space="4" w:color="auto"/>
          <w:bottom w:val="single" w:sz="4" w:space="1" w:color="auto"/>
          <w:right w:val="single" w:sz="4" w:space="4" w:color="auto"/>
        </w:pBdr>
      </w:pPr>
      <w:r w:rsidRPr="00A066A8">
        <w:t>S&amp;F implies that at least the full eNB will be onboard</w:t>
      </w:r>
    </w:p>
    <w:p w14:paraId="200C1D0F" w14:textId="77777777" w:rsidR="003E45E3" w:rsidRPr="00A066A8" w:rsidRDefault="003E45E3" w:rsidP="003E45E3">
      <w:pPr>
        <w:pStyle w:val="Doc-text2"/>
        <w:numPr>
          <w:ilvl w:val="0"/>
          <w:numId w:val="49"/>
        </w:numPr>
        <w:pBdr>
          <w:top w:val="single" w:sz="4" w:space="1" w:color="auto"/>
          <w:left w:val="single" w:sz="4" w:space="4" w:color="auto"/>
          <w:bottom w:val="single" w:sz="4" w:space="1" w:color="auto"/>
          <w:right w:val="single" w:sz="4" w:space="4" w:color="auto"/>
        </w:pBdr>
      </w:pPr>
      <w:r w:rsidRPr="00A066A8">
        <w:t>An IoT NTN network shall be able to inform UE(s) whether S&amp;F Satellite operation is applied, either via NAS or AS (wait for SA2 progress on this)</w:t>
      </w:r>
    </w:p>
    <w:p w14:paraId="0BC38D63" w14:textId="77777777" w:rsidR="003E45E3" w:rsidRPr="00A066A8" w:rsidRDefault="003E45E3" w:rsidP="003E45E3">
      <w:pPr>
        <w:pStyle w:val="Doc-text2"/>
        <w:pBdr>
          <w:top w:val="single" w:sz="4" w:space="1" w:color="auto"/>
          <w:left w:val="single" w:sz="4" w:space="4" w:color="auto"/>
          <w:bottom w:val="single" w:sz="4" w:space="1" w:color="auto"/>
          <w:right w:val="single" w:sz="4" w:space="4" w:color="auto"/>
        </w:pBdr>
      </w:pPr>
      <w:r w:rsidRPr="00A066A8">
        <w:t>3.</w:t>
      </w:r>
      <w:r w:rsidRPr="00A066A8">
        <w:tab/>
        <w:t>The S&amp;F satellite operation is common for NB-IoT and eMTC.</w:t>
      </w:r>
    </w:p>
    <w:p w14:paraId="6813C6A2" w14:textId="77777777" w:rsidR="003E45E3" w:rsidRPr="00A066A8" w:rsidRDefault="003E45E3" w:rsidP="003E45E3">
      <w:pPr>
        <w:pStyle w:val="Doc-text2"/>
        <w:pBdr>
          <w:top w:val="single" w:sz="4" w:space="1" w:color="auto"/>
          <w:left w:val="single" w:sz="4" w:space="4" w:color="auto"/>
          <w:bottom w:val="single" w:sz="4" w:space="1" w:color="auto"/>
          <w:right w:val="single" w:sz="4" w:space="4" w:color="auto"/>
        </w:pBdr>
      </w:pPr>
      <w:r w:rsidRPr="00A066A8">
        <w:t>4.</w:t>
      </w:r>
      <w:r w:rsidRPr="00A066A8">
        <w:tab/>
        <w:t>The S&amp;F satellite operation is applied to both CP solution and UP solution (for the UP solution pending on SA2 conclusions on the architecture)</w:t>
      </w:r>
    </w:p>
    <w:p w14:paraId="33491959" w14:textId="05B10F02" w:rsidR="003E45E3" w:rsidRDefault="003E45E3" w:rsidP="00AF4DB9">
      <w:pPr>
        <w:pStyle w:val="PatentBody"/>
        <w:numPr>
          <w:ilvl w:val="0"/>
          <w:numId w:val="0"/>
        </w:numPr>
        <w:spacing w:after="180" w:line="240" w:lineRule="auto"/>
        <w:jc w:val="both"/>
        <w:rPr>
          <w:sz w:val="20"/>
        </w:rPr>
      </w:pPr>
    </w:p>
    <w:p w14:paraId="10FDDFE7" w14:textId="2CBBCD2C" w:rsidR="0025487E" w:rsidRPr="0025487E" w:rsidRDefault="0025487E" w:rsidP="0025487E">
      <w:pPr>
        <w:pStyle w:val="Heading2"/>
      </w:pPr>
      <w:r>
        <w:t>Architecture assumptions</w:t>
      </w:r>
    </w:p>
    <w:p w14:paraId="775E3AF5" w14:textId="50DF7DDA" w:rsidR="000B66D6" w:rsidRDefault="0025487E" w:rsidP="00AF4DB9">
      <w:pPr>
        <w:pStyle w:val="PatentBody"/>
        <w:numPr>
          <w:ilvl w:val="0"/>
          <w:numId w:val="0"/>
        </w:numPr>
        <w:spacing w:after="180" w:line="240" w:lineRule="auto"/>
        <w:jc w:val="both"/>
        <w:rPr>
          <w:sz w:val="20"/>
        </w:rPr>
      </w:pPr>
      <w:r>
        <w:rPr>
          <w:sz w:val="20"/>
        </w:rPr>
        <w:t>One implication</w:t>
      </w:r>
      <w:r w:rsidR="0025025C">
        <w:rPr>
          <w:sz w:val="20"/>
        </w:rPr>
        <w:t xml:space="preserve"> of S&amp;F</w:t>
      </w:r>
      <w:r>
        <w:rPr>
          <w:sz w:val="20"/>
        </w:rPr>
        <w:t xml:space="preserve"> is that</w:t>
      </w:r>
      <w:r w:rsidR="006D1E7E">
        <w:rPr>
          <w:sz w:val="20"/>
        </w:rPr>
        <w:t xml:space="preserve"> the satellite cannot be fully transparent. </w:t>
      </w:r>
      <w:r w:rsidR="000B66D6">
        <w:rPr>
          <w:sz w:val="20"/>
        </w:rPr>
        <w:t xml:space="preserve">This is because the UE needs to be able to communication to the NTN eNB for any meaning full connectivity to take place. </w:t>
      </w:r>
    </w:p>
    <w:p w14:paraId="6B20D01A" w14:textId="61500671" w:rsidR="006D1E7E" w:rsidRDefault="006D1E7E" w:rsidP="00AF4DB9">
      <w:pPr>
        <w:pStyle w:val="PatentBody"/>
        <w:numPr>
          <w:ilvl w:val="0"/>
          <w:numId w:val="0"/>
        </w:numPr>
        <w:spacing w:after="180" w:line="240" w:lineRule="auto"/>
        <w:jc w:val="both"/>
        <w:rPr>
          <w:sz w:val="20"/>
        </w:rPr>
      </w:pPr>
      <w:r>
        <w:rPr>
          <w:sz w:val="20"/>
        </w:rPr>
        <w:t>In NR NTN Phase 3</w:t>
      </w:r>
      <w:r w:rsidR="0067709E">
        <w:rPr>
          <w:sz w:val="20"/>
        </w:rPr>
        <w:t xml:space="preserve">, there is the following objective: </w:t>
      </w:r>
    </w:p>
    <w:tbl>
      <w:tblPr>
        <w:tblStyle w:val="TableGrid"/>
        <w:tblW w:w="0" w:type="auto"/>
        <w:tblLook w:val="04A0" w:firstRow="1" w:lastRow="0" w:firstColumn="1" w:lastColumn="0" w:noHBand="0" w:noVBand="1"/>
      </w:tblPr>
      <w:tblGrid>
        <w:gridCol w:w="9631"/>
      </w:tblGrid>
      <w:tr w:rsidR="003D7E84" w14:paraId="4AE0030E" w14:textId="77777777" w:rsidTr="003D7E84">
        <w:tc>
          <w:tcPr>
            <w:tcW w:w="9631" w:type="dxa"/>
          </w:tcPr>
          <w:p w14:paraId="76ED034B" w14:textId="77777777" w:rsidR="003D7E84" w:rsidRPr="003D7E84" w:rsidRDefault="003D7E84" w:rsidP="003D7E84">
            <w:pPr>
              <w:numPr>
                <w:ilvl w:val="0"/>
                <w:numId w:val="46"/>
              </w:numPr>
              <w:overflowPunct w:val="0"/>
              <w:autoSpaceDE w:val="0"/>
              <w:autoSpaceDN w:val="0"/>
              <w:adjustRightInd w:val="0"/>
              <w:spacing w:after="0" w:line="276" w:lineRule="auto"/>
              <w:textAlignment w:val="baseline"/>
              <w:rPr>
                <w:rFonts w:ascii="Times New Roman" w:eastAsia="Calibri" w:hAnsi="Times New Roman" w:cs="Times New Roman"/>
                <w:lang w:eastAsia="ko-KR"/>
              </w:rPr>
            </w:pPr>
            <w:bookmarkStart w:id="5" w:name="_Hlk153358806"/>
            <w:r w:rsidRPr="003D7E84">
              <w:rPr>
                <w:rFonts w:ascii="Times New Roman" w:eastAsia="Malgun Gothic" w:hAnsi="Times New Roman" w:cs="Times New Roman"/>
                <w:lang w:eastAsia="ko-KR"/>
              </w:rPr>
              <w:t>Support of regenerative payload [RAN3, RAN2, RAN4]</w:t>
            </w:r>
          </w:p>
          <w:p w14:paraId="7DA45951" w14:textId="77777777" w:rsidR="003D7E84" w:rsidRPr="003D7E84" w:rsidRDefault="003D7E84" w:rsidP="003D7E84">
            <w:pPr>
              <w:pStyle w:val="ListParagraph"/>
              <w:widowControl w:val="0"/>
              <w:numPr>
                <w:ilvl w:val="0"/>
                <w:numId w:val="42"/>
              </w:numPr>
              <w:spacing w:line="276" w:lineRule="auto"/>
              <w:jc w:val="both"/>
              <w:rPr>
                <w:rFonts w:ascii="Times New Roman" w:hAnsi="Times New Roman" w:cs="Times New Roman"/>
                <w:sz w:val="20"/>
                <w:szCs w:val="20"/>
              </w:rPr>
            </w:pPr>
            <w:r w:rsidRPr="003D7E84">
              <w:rPr>
                <w:rFonts w:ascii="Times New Roman" w:hAnsi="Times New Roman" w:cs="Times New Roman"/>
                <w:sz w:val="20"/>
                <w:szCs w:val="20"/>
              </w:rPr>
              <w:t>Specify the support of gNB on board in TS 38.300</w:t>
            </w:r>
          </w:p>
          <w:p w14:paraId="2503690C" w14:textId="77777777" w:rsidR="003D7E84" w:rsidRPr="003D7E84" w:rsidRDefault="003D7E84" w:rsidP="003D7E84">
            <w:pPr>
              <w:pStyle w:val="ListParagraph"/>
              <w:widowControl w:val="0"/>
              <w:numPr>
                <w:ilvl w:val="0"/>
                <w:numId w:val="42"/>
              </w:numPr>
              <w:spacing w:line="276" w:lineRule="auto"/>
              <w:jc w:val="both"/>
              <w:rPr>
                <w:rFonts w:ascii="Times New Roman" w:hAnsi="Times New Roman" w:cs="Times New Roman"/>
                <w:sz w:val="20"/>
                <w:szCs w:val="20"/>
              </w:rPr>
            </w:pPr>
            <w:r w:rsidRPr="003D7E84">
              <w:rPr>
                <w:rFonts w:ascii="Times New Roman" w:hAnsi="Times New Roman" w:cs="Times New Roman"/>
                <w:sz w:val="20"/>
                <w:szCs w:val="20"/>
              </w:rPr>
              <w:t>Specify, if needed, any necessary enhancements related to the intra and inter-gNB mobility, especially for Xn interface over feeder link or over ISL. [RAN3]</w:t>
            </w:r>
          </w:p>
          <w:p w14:paraId="563BB01C" w14:textId="0F59F6DC" w:rsidR="003D7E84" w:rsidRPr="003D7E84" w:rsidRDefault="003D7E84" w:rsidP="003D7E84">
            <w:pPr>
              <w:pStyle w:val="ListParagraph"/>
              <w:widowControl w:val="0"/>
              <w:numPr>
                <w:ilvl w:val="0"/>
                <w:numId w:val="42"/>
              </w:numPr>
              <w:spacing w:line="276" w:lineRule="auto"/>
              <w:jc w:val="both"/>
              <w:rPr>
                <w:rFonts w:ascii="Times New Roman" w:hAnsi="Times New Roman"/>
                <w:sz w:val="20"/>
                <w:szCs w:val="20"/>
              </w:rPr>
            </w:pPr>
            <w:r w:rsidRPr="003D7E84">
              <w:rPr>
                <w:rFonts w:ascii="Times New Roman" w:hAnsi="Times New Roman" w:cs="Times New Roman"/>
                <w:sz w:val="20"/>
                <w:szCs w:val="20"/>
              </w:rPr>
              <w:t>Note: if any additional necessary stage-3 specifications impact for e.g. NGAP is identified, RAN3 will handle it.</w:t>
            </w:r>
            <w:bookmarkEnd w:id="5"/>
          </w:p>
        </w:tc>
      </w:tr>
    </w:tbl>
    <w:p w14:paraId="5614190E" w14:textId="5C121F87" w:rsidR="0067709E" w:rsidRDefault="0067709E" w:rsidP="00AF4DB9">
      <w:pPr>
        <w:pStyle w:val="PatentBody"/>
        <w:numPr>
          <w:ilvl w:val="0"/>
          <w:numId w:val="0"/>
        </w:numPr>
        <w:spacing w:after="180" w:line="240" w:lineRule="auto"/>
        <w:jc w:val="both"/>
        <w:rPr>
          <w:sz w:val="20"/>
        </w:rPr>
      </w:pPr>
    </w:p>
    <w:p w14:paraId="26093279" w14:textId="604C94A1" w:rsidR="006D1E7E" w:rsidRDefault="0067709E" w:rsidP="00AF4DB9">
      <w:pPr>
        <w:pStyle w:val="PatentBody"/>
        <w:numPr>
          <w:ilvl w:val="0"/>
          <w:numId w:val="0"/>
        </w:numPr>
        <w:spacing w:after="180" w:line="240" w:lineRule="auto"/>
        <w:jc w:val="both"/>
        <w:rPr>
          <w:sz w:val="20"/>
        </w:rPr>
      </w:pPr>
      <w:r>
        <w:rPr>
          <w:sz w:val="20"/>
        </w:rPr>
        <w:lastRenderedPageBreak/>
        <w:t>Therefore we believe that any work in</w:t>
      </w:r>
      <w:r w:rsidR="003D7E84">
        <w:rPr>
          <w:sz w:val="20"/>
        </w:rPr>
        <w:t xml:space="preserve"> RAN2 introduced for regenerative</w:t>
      </w:r>
      <w:r>
        <w:rPr>
          <w:sz w:val="20"/>
        </w:rPr>
        <w:t xml:space="preserve"> case may be applicable for IoT NTN. Our proposal is thus: </w:t>
      </w:r>
    </w:p>
    <w:p w14:paraId="4C547C33" w14:textId="14F7DEFF" w:rsidR="006D1E7E" w:rsidRDefault="0025487E" w:rsidP="006D1E7E">
      <w:pPr>
        <w:rPr>
          <w:lang w:val="en-GB" w:eastAsia="en-US"/>
        </w:rPr>
      </w:pPr>
      <w:r>
        <w:rPr>
          <w:b/>
        </w:rPr>
        <w:t xml:space="preserve">Proposal 1: Any </w:t>
      </w:r>
      <w:r w:rsidR="00E94D04">
        <w:rPr>
          <w:b/>
        </w:rPr>
        <w:t>adaptations</w:t>
      </w:r>
      <w:r w:rsidR="003D7E84">
        <w:rPr>
          <w:b/>
        </w:rPr>
        <w:t xml:space="preserve"> introduced in</w:t>
      </w:r>
      <w:r>
        <w:rPr>
          <w:b/>
        </w:rPr>
        <w:t xml:space="preserve"> RAN2</w:t>
      </w:r>
      <w:r w:rsidR="003D7E84">
        <w:rPr>
          <w:b/>
        </w:rPr>
        <w:t xml:space="preserve"> NR NTN for regenerative can be</w:t>
      </w:r>
      <w:r w:rsidR="00BB2496">
        <w:rPr>
          <w:b/>
        </w:rPr>
        <w:t xml:space="preserve"> assumed </w:t>
      </w:r>
      <w:r w:rsidR="00937686">
        <w:rPr>
          <w:b/>
        </w:rPr>
        <w:t>applicable</w:t>
      </w:r>
      <w:r w:rsidR="003D7E84">
        <w:rPr>
          <w:b/>
        </w:rPr>
        <w:t xml:space="preserve"> for IoT NTN</w:t>
      </w:r>
      <w:r w:rsidR="006D1E7E">
        <w:rPr>
          <w:b/>
        </w:rPr>
        <w:t xml:space="preserve">. </w:t>
      </w:r>
    </w:p>
    <w:p w14:paraId="6DE8EE95" w14:textId="05B08B46" w:rsidR="000B66D6" w:rsidRDefault="000B66D6" w:rsidP="00AF4DB9">
      <w:pPr>
        <w:pStyle w:val="PatentBody"/>
        <w:numPr>
          <w:ilvl w:val="0"/>
          <w:numId w:val="0"/>
        </w:numPr>
        <w:spacing w:after="180" w:line="240" w:lineRule="auto"/>
        <w:jc w:val="both"/>
        <w:rPr>
          <w:sz w:val="20"/>
        </w:rPr>
      </w:pPr>
      <w:r>
        <w:rPr>
          <w:sz w:val="20"/>
        </w:rPr>
        <w:t xml:space="preserve">In addition to the requirement of having eNB on the satellite, in order for the UE to perform some procedures there may also be a need to have certain core network elements or core network functions on the satellite. The assumptions in RAN2 would entirely depend on what core network elements can be assumed to be in the satellite. </w:t>
      </w:r>
    </w:p>
    <w:p w14:paraId="1A204865" w14:textId="0CEC8E77" w:rsidR="000B66D6" w:rsidRDefault="000B66D6" w:rsidP="00AF4DB9">
      <w:pPr>
        <w:pStyle w:val="PatentBody"/>
        <w:numPr>
          <w:ilvl w:val="0"/>
          <w:numId w:val="0"/>
        </w:numPr>
        <w:spacing w:after="180" w:line="240" w:lineRule="auto"/>
        <w:jc w:val="both"/>
        <w:rPr>
          <w:sz w:val="20"/>
        </w:rPr>
      </w:pPr>
    </w:p>
    <w:p w14:paraId="39BBCA26" w14:textId="3CF8F9D4" w:rsidR="004B5D2D" w:rsidRDefault="009A40A2" w:rsidP="004B5D2D">
      <w:pPr>
        <w:pStyle w:val="PatentBody"/>
        <w:keepNext/>
        <w:numPr>
          <w:ilvl w:val="0"/>
          <w:numId w:val="0"/>
        </w:numPr>
        <w:spacing w:after="180" w:line="240" w:lineRule="auto"/>
        <w:jc w:val="center"/>
      </w:pPr>
      <w:r>
        <w:rPr>
          <w:sz w:val="20"/>
        </w:rPr>
        <w:lastRenderedPageBreak/>
        <w:pict w14:anchorId="666BB0F1">
          <v:shape id="_x0000_i1026" type="#_x0000_t75" style="width:461.3pt;height:574.35pt">
            <v:imagedata r:id="rId9" o:title="Figure 1"/>
          </v:shape>
        </w:pict>
      </w:r>
    </w:p>
    <w:p w14:paraId="6A223389" w14:textId="416084B8" w:rsidR="004B5D2D" w:rsidRPr="004B5D2D" w:rsidRDefault="004B5D2D" w:rsidP="004B5D2D">
      <w:pPr>
        <w:pStyle w:val="Caption"/>
        <w:jc w:val="center"/>
        <w:rPr>
          <w:i w:val="0"/>
          <w:color w:val="auto"/>
          <w:sz w:val="20"/>
        </w:rPr>
      </w:pPr>
      <w:r w:rsidRPr="004B5D2D">
        <w:rPr>
          <w:i w:val="0"/>
          <w:color w:val="auto"/>
        </w:rPr>
        <w:t xml:space="preserve">Figure </w:t>
      </w:r>
      <w:r w:rsidRPr="004B5D2D">
        <w:rPr>
          <w:i w:val="0"/>
          <w:color w:val="auto"/>
        </w:rPr>
        <w:fldChar w:fldCharType="begin"/>
      </w:r>
      <w:r w:rsidRPr="004B5D2D">
        <w:rPr>
          <w:i w:val="0"/>
          <w:color w:val="auto"/>
        </w:rPr>
        <w:instrText xml:space="preserve"> SEQ Figure \* ARABIC </w:instrText>
      </w:r>
      <w:r w:rsidRPr="004B5D2D">
        <w:rPr>
          <w:i w:val="0"/>
          <w:color w:val="auto"/>
        </w:rPr>
        <w:fldChar w:fldCharType="separate"/>
      </w:r>
      <w:r w:rsidR="003017C6">
        <w:rPr>
          <w:i w:val="0"/>
          <w:noProof/>
          <w:color w:val="auto"/>
        </w:rPr>
        <w:t>2</w:t>
      </w:r>
      <w:r w:rsidRPr="004B5D2D">
        <w:rPr>
          <w:i w:val="0"/>
          <w:color w:val="auto"/>
        </w:rPr>
        <w:fldChar w:fldCharType="end"/>
      </w:r>
      <w:r w:rsidRPr="004B5D2D">
        <w:rPr>
          <w:i w:val="0"/>
          <w:color w:val="auto"/>
        </w:rPr>
        <w:t xml:space="preserve">. Architecture options for S&amp;F. </w:t>
      </w:r>
    </w:p>
    <w:p w14:paraId="40689CB0" w14:textId="77777777" w:rsidR="004B5D2D" w:rsidRDefault="004B5D2D" w:rsidP="00AF4DB9">
      <w:pPr>
        <w:pStyle w:val="PatentBody"/>
        <w:numPr>
          <w:ilvl w:val="0"/>
          <w:numId w:val="0"/>
        </w:numPr>
        <w:spacing w:after="180" w:line="240" w:lineRule="auto"/>
        <w:jc w:val="both"/>
        <w:rPr>
          <w:b/>
          <w:sz w:val="20"/>
        </w:rPr>
      </w:pPr>
    </w:p>
    <w:p w14:paraId="0E34AF20" w14:textId="60DAAE96" w:rsidR="00F438BB" w:rsidRPr="00F438BB" w:rsidRDefault="00F438BB" w:rsidP="003A1FD5">
      <w:pPr>
        <w:pStyle w:val="PatentBody"/>
        <w:numPr>
          <w:ilvl w:val="0"/>
          <w:numId w:val="0"/>
        </w:numPr>
        <w:spacing w:after="60" w:line="240" w:lineRule="auto"/>
        <w:jc w:val="both"/>
        <w:rPr>
          <w:b/>
          <w:sz w:val="20"/>
        </w:rPr>
      </w:pPr>
      <w:r w:rsidRPr="00F438BB">
        <w:rPr>
          <w:b/>
          <w:sz w:val="20"/>
        </w:rPr>
        <w:t>No Core network elements in the satellite</w:t>
      </w:r>
    </w:p>
    <w:p w14:paraId="4FCC990B" w14:textId="7CBA7DFC" w:rsidR="006F4A1F" w:rsidRDefault="006F4A1F" w:rsidP="00AF4DB9">
      <w:pPr>
        <w:pStyle w:val="PatentBody"/>
        <w:numPr>
          <w:ilvl w:val="0"/>
          <w:numId w:val="0"/>
        </w:numPr>
        <w:spacing w:after="180" w:line="240" w:lineRule="auto"/>
        <w:jc w:val="both"/>
        <w:rPr>
          <w:sz w:val="20"/>
        </w:rPr>
      </w:pPr>
      <w:r>
        <w:rPr>
          <w:sz w:val="20"/>
        </w:rPr>
        <w:t xml:space="preserve">If there are only eNB on the satellite, </w:t>
      </w:r>
      <w:r w:rsidR="005236BB">
        <w:rPr>
          <w:sz w:val="20"/>
        </w:rPr>
        <w:t xml:space="preserve">certain control plane procedures may become very challenging or very slow, due to most procedures requiring core network access. However, </w:t>
      </w:r>
      <w:r>
        <w:rPr>
          <w:sz w:val="20"/>
        </w:rPr>
        <w:t>data traffic may still be possible through RRC Res</w:t>
      </w:r>
      <w:r w:rsidR="00314A00">
        <w:rPr>
          <w:sz w:val="20"/>
        </w:rPr>
        <w:t xml:space="preserve">ume procedures. When RRC Resume is performed, the UE </w:t>
      </w:r>
      <w:r>
        <w:rPr>
          <w:sz w:val="20"/>
        </w:rPr>
        <w:t xml:space="preserve">sends the data payload which the eNB on the satellite stores. </w:t>
      </w:r>
      <w:r w:rsidR="00314A00">
        <w:rPr>
          <w:sz w:val="20"/>
        </w:rPr>
        <w:t xml:space="preserve">Once the eNB has gateway connectivity, the procedures to activate the bearers are performed and the data payload is sent to the core network on the ground. </w:t>
      </w:r>
    </w:p>
    <w:p w14:paraId="7A57707E" w14:textId="1E5A9895" w:rsidR="005667D3" w:rsidRDefault="005667D3" w:rsidP="00AF4DB9">
      <w:pPr>
        <w:pStyle w:val="PatentBody"/>
        <w:numPr>
          <w:ilvl w:val="0"/>
          <w:numId w:val="0"/>
        </w:numPr>
        <w:spacing w:after="180" w:line="240" w:lineRule="auto"/>
        <w:jc w:val="both"/>
        <w:rPr>
          <w:sz w:val="20"/>
        </w:rPr>
      </w:pPr>
      <w:r>
        <w:rPr>
          <w:sz w:val="20"/>
        </w:rPr>
        <w:lastRenderedPageBreak/>
        <w:t>This option does not requir</w:t>
      </w:r>
      <w:r w:rsidR="005236BB">
        <w:rPr>
          <w:sz w:val="20"/>
        </w:rPr>
        <w:t xml:space="preserve">e any core network elements </w:t>
      </w:r>
      <w:r>
        <w:rPr>
          <w:sz w:val="20"/>
        </w:rPr>
        <w:t xml:space="preserve">on the satellite, which may simplify implementation and allow for the satellite to be less complicated, which is important in an NTN deployment. </w:t>
      </w:r>
    </w:p>
    <w:p w14:paraId="24FDCA9B" w14:textId="58E9A8AB" w:rsidR="00F438BB" w:rsidRPr="00F438BB" w:rsidRDefault="00F438BB" w:rsidP="003A1FD5">
      <w:pPr>
        <w:pStyle w:val="PatentBody"/>
        <w:numPr>
          <w:ilvl w:val="0"/>
          <w:numId w:val="0"/>
        </w:numPr>
        <w:spacing w:after="60" w:line="240" w:lineRule="auto"/>
        <w:jc w:val="both"/>
        <w:rPr>
          <w:b/>
          <w:sz w:val="20"/>
        </w:rPr>
      </w:pPr>
      <w:r w:rsidRPr="00F438BB">
        <w:rPr>
          <w:b/>
          <w:sz w:val="20"/>
        </w:rPr>
        <w:t>A</w:t>
      </w:r>
      <w:r w:rsidR="00067854">
        <w:rPr>
          <w:b/>
          <w:sz w:val="20"/>
        </w:rPr>
        <w:t xml:space="preserve"> limited</w:t>
      </w:r>
      <w:r w:rsidRPr="00F438BB">
        <w:rPr>
          <w:b/>
          <w:sz w:val="20"/>
        </w:rPr>
        <w:t xml:space="preserve"> set of core network elements in the satellite</w:t>
      </w:r>
    </w:p>
    <w:p w14:paraId="221DA2D8" w14:textId="4F67436A" w:rsidR="00F438BB" w:rsidRDefault="00314A00" w:rsidP="00AF4DB9">
      <w:pPr>
        <w:pStyle w:val="PatentBody"/>
        <w:numPr>
          <w:ilvl w:val="0"/>
          <w:numId w:val="0"/>
        </w:numPr>
        <w:spacing w:after="180" w:line="240" w:lineRule="auto"/>
        <w:jc w:val="both"/>
        <w:rPr>
          <w:sz w:val="20"/>
        </w:rPr>
      </w:pPr>
      <w:r>
        <w:rPr>
          <w:sz w:val="20"/>
        </w:rPr>
        <w:t>If a limited set of core network elements are present in the satellite</w:t>
      </w:r>
      <w:r w:rsidR="005667D3">
        <w:rPr>
          <w:sz w:val="20"/>
        </w:rPr>
        <w:t xml:space="preserve"> then the type of procedures that may be performed</w:t>
      </w:r>
      <w:r w:rsidR="00100A0F">
        <w:rPr>
          <w:sz w:val="20"/>
        </w:rPr>
        <w:t xml:space="preserve"> with acceptable latency</w:t>
      </w:r>
      <w:r w:rsidR="005667D3">
        <w:rPr>
          <w:sz w:val="20"/>
        </w:rPr>
        <w:t xml:space="preserve"> can be increased. If for instance the S-GW and certain parts of the MME is in the satellite, then </w:t>
      </w:r>
      <w:r w:rsidR="00100A0F">
        <w:rPr>
          <w:sz w:val="20"/>
        </w:rPr>
        <w:t xml:space="preserve">data transmissions and </w:t>
      </w:r>
      <w:r w:rsidR="005667D3">
        <w:rPr>
          <w:sz w:val="20"/>
        </w:rPr>
        <w:t>certain registration procedures can be performed</w:t>
      </w:r>
      <w:r w:rsidR="00100A0F">
        <w:rPr>
          <w:sz w:val="20"/>
        </w:rPr>
        <w:t xml:space="preserve"> directly with the satellite. L</w:t>
      </w:r>
      <w:r w:rsidR="005667D3">
        <w:rPr>
          <w:sz w:val="20"/>
        </w:rPr>
        <w:t xml:space="preserve">ess satellite passes would be needed to perform a full initial access. </w:t>
      </w:r>
    </w:p>
    <w:p w14:paraId="763CE38B" w14:textId="72336717" w:rsidR="005667D3" w:rsidRDefault="005667D3" w:rsidP="00AF4DB9">
      <w:pPr>
        <w:pStyle w:val="PatentBody"/>
        <w:numPr>
          <w:ilvl w:val="0"/>
          <w:numId w:val="0"/>
        </w:numPr>
        <w:spacing w:after="180" w:line="240" w:lineRule="auto"/>
        <w:jc w:val="both"/>
        <w:rPr>
          <w:sz w:val="20"/>
        </w:rPr>
      </w:pPr>
      <w:r>
        <w:rPr>
          <w:sz w:val="20"/>
        </w:rPr>
        <w:t xml:space="preserve">This option likely leads to more needed implementations on the satellite and requires synchronization of the core elements once there is ground gateway connectivity. This may lead to more complicated implementations. </w:t>
      </w:r>
    </w:p>
    <w:p w14:paraId="382A3894" w14:textId="0AB85A4B" w:rsidR="00F438BB" w:rsidRPr="00F438BB" w:rsidRDefault="00F438BB" w:rsidP="003A1FD5">
      <w:pPr>
        <w:pStyle w:val="PatentBody"/>
        <w:numPr>
          <w:ilvl w:val="0"/>
          <w:numId w:val="0"/>
        </w:numPr>
        <w:spacing w:after="60" w:line="240" w:lineRule="auto"/>
        <w:jc w:val="both"/>
        <w:rPr>
          <w:b/>
          <w:sz w:val="20"/>
        </w:rPr>
      </w:pPr>
      <w:r w:rsidRPr="00F438BB">
        <w:rPr>
          <w:b/>
          <w:sz w:val="20"/>
        </w:rPr>
        <w:t>Full core network in the satellite</w:t>
      </w:r>
    </w:p>
    <w:p w14:paraId="65A17499" w14:textId="0C22F3CA" w:rsidR="003A1FD5" w:rsidRDefault="005667D3" w:rsidP="00AF4DB9">
      <w:pPr>
        <w:pStyle w:val="PatentBody"/>
        <w:numPr>
          <w:ilvl w:val="0"/>
          <w:numId w:val="0"/>
        </w:numPr>
        <w:spacing w:after="180" w:line="240" w:lineRule="auto"/>
        <w:jc w:val="both"/>
        <w:rPr>
          <w:sz w:val="20"/>
        </w:rPr>
      </w:pPr>
      <w:r>
        <w:rPr>
          <w:sz w:val="20"/>
        </w:rPr>
        <w:t xml:space="preserve">This option may be the most simple, specification-wise. In this case there may be limited impacts on procedures. But this may also be complicated to implement, unless there is only a single satellite providing the connectivity. </w:t>
      </w:r>
    </w:p>
    <w:p w14:paraId="360CB019" w14:textId="5047F809" w:rsidR="00F438BB" w:rsidRDefault="00F438BB" w:rsidP="00AF4DB9">
      <w:pPr>
        <w:pStyle w:val="PatentBody"/>
        <w:numPr>
          <w:ilvl w:val="0"/>
          <w:numId w:val="0"/>
        </w:numPr>
        <w:spacing w:after="180" w:line="240" w:lineRule="auto"/>
        <w:jc w:val="both"/>
        <w:rPr>
          <w:sz w:val="20"/>
        </w:rPr>
      </w:pPr>
      <w:r>
        <w:rPr>
          <w:sz w:val="20"/>
        </w:rPr>
        <w:t xml:space="preserve">In all of the above cases, a lot of procedures </w:t>
      </w:r>
      <w:r w:rsidR="006F4A1F">
        <w:rPr>
          <w:sz w:val="20"/>
        </w:rPr>
        <w:t>may still be possible to perform, but require extremely long time to complete. For instance the full access procedure to setup may require several satellite passes</w:t>
      </w:r>
      <w:r w:rsidR="00314A00">
        <w:rPr>
          <w:sz w:val="20"/>
        </w:rPr>
        <w:t xml:space="preserve"> if there are no core network elements in the satellite – but this may require changes to the procedures in some cases</w:t>
      </w:r>
      <w:r w:rsidR="006F4A1F">
        <w:rPr>
          <w:sz w:val="20"/>
        </w:rPr>
        <w:t xml:space="preserve">. </w:t>
      </w:r>
    </w:p>
    <w:p w14:paraId="1E5B7D2D" w14:textId="036669F1" w:rsidR="000B66D6" w:rsidRDefault="000B66D6" w:rsidP="00AF4DB9">
      <w:pPr>
        <w:pStyle w:val="PatentBody"/>
        <w:numPr>
          <w:ilvl w:val="0"/>
          <w:numId w:val="0"/>
        </w:numPr>
        <w:spacing w:after="180" w:line="240" w:lineRule="auto"/>
        <w:jc w:val="both"/>
        <w:rPr>
          <w:sz w:val="20"/>
        </w:rPr>
      </w:pPr>
      <w:r>
        <w:rPr>
          <w:sz w:val="20"/>
        </w:rPr>
        <w:t xml:space="preserve">At some point, SA2 need to make clear what options are on the table in terms of what can be </w:t>
      </w:r>
      <w:r w:rsidR="006F4A1F">
        <w:rPr>
          <w:sz w:val="20"/>
        </w:rPr>
        <w:t xml:space="preserve">assumed to be in the satellite, but we think for the current point in time, RAN2 can assume all architecture possibilities. </w:t>
      </w:r>
    </w:p>
    <w:p w14:paraId="2E14BCD8" w14:textId="658716F7" w:rsidR="00067854" w:rsidRDefault="00067854" w:rsidP="00AC6E95">
      <w:pPr>
        <w:spacing w:after="60"/>
        <w:rPr>
          <w:b/>
        </w:rPr>
      </w:pPr>
      <w:r>
        <w:rPr>
          <w:b/>
        </w:rPr>
        <w:t xml:space="preserve">Proposal 2: RAN2 to assume all architecture possibilities for S&amp;F for now: </w:t>
      </w:r>
    </w:p>
    <w:p w14:paraId="0BFCD2C2" w14:textId="26EEC8AB" w:rsidR="00067854" w:rsidRPr="00067854" w:rsidRDefault="00067854" w:rsidP="00067854">
      <w:pPr>
        <w:pStyle w:val="ListParagraph"/>
        <w:numPr>
          <w:ilvl w:val="2"/>
          <w:numId w:val="46"/>
        </w:numPr>
        <w:rPr>
          <w:sz w:val="20"/>
          <w:lang w:val="en-GB" w:eastAsia="en-US"/>
        </w:rPr>
      </w:pPr>
      <w:r w:rsidRPr="00067854">
        <w:rPr>
          <w:b/>
          <w:sz w:val="20"/>
        </w:rPr>
        <w:t>No core network elements in the satellite</w:t>
      </w:r>
    </w:p>
    <w:p w14:paraId="618E5760" w14:textId="77777777" w:rsidR="00067854" w:rsidRPr="00067854" w:rsidRDefault="00067854" w:rsidP="00067854">
      <w:pPr>
        <w:pStyle w:val="ListParagraph"/>
        <w:numPr>
          <w:ilvl w:val="2"/>
          <w:numId w:val="46"/>
        </w:numPr>
        <w:rPr>
          <w:sz w:val="20"/>
          <w:lang w:val="en-GB" w:eastAsia="en-US"/>
        </w:rPr>
      </w:pPr>
      <w:r w:rsidRPr="00067854">
        <w:rPr>
          <w:b/>
          <w:sz w:val="20"/>
        </w:rPr>
        <w:t>Limited set of core network elements in the satellite</w:t>
      </w:r>
    </w:p>
    <w:p w14:paraId="3FE91B60" w14:textId="6C7C9A1C" w:rsidR="00067854" w:rsidRPr="00FF4C4F" w:rsidRDefault="00067854" w:rsidP="00FF4C4F">
      <w:pPr>
        <w:pStyle w:val="ListParagraph"/>
        <w:numPr>
          <w:ilvl w:val="2"/>
          <w:numId w:val="46"/>
        </w:numPr>
        <w:rPr>
          <w:sz w:val="20"/>
          <w:lang w:val="en-GB" w:eastAsia="en-US"/>
        </w:rPr>
      </w:pPr>
      <w:r w:rsidRPr="00067854">
        <w:rPr>
          <w:b/>
          <w:sz w:val="20"/>
        </w:rPr>
        <w:t>Full core network in the satellite</w:t>
      </w:r>
      <w:r w:rsidR="000B66D6" w:rsidRPr="00067854">
        <w:rPr>
          <w:b/>
          <w:sz w:val="20"/>
        </w:rPr>
        <w:t xml:space="preserve">. </w:t>
      </w:r>
    </w:p>
    <w:p w14:paraId="780BDF13" w14:textId="7A79E611" w:rsidR="00484EDB" w:rsidRDefault="00484EDB" w:rsidP="00AF4DB9">
      <w:pPr>
        <w:pStyle w:val="PatentBody"/>
        <w:numPr>
          <w:ilvl w:val="0"/>
          <w:numId w:val="0"/>
        </w:numPr>
        <w:spacing w:after="180" w:line="240" w:lineRule="auto"/>
        <w:jc w:val="both"/>
        <w:rPr>
          <w:sz w:val="20"/>
        </w:rPr>
      </w:pPr>
    </w:p>
    <w:p w14:paraId="10FBF393" w14:textId="3DE6B2EE" w:rsidR="00484EDB" w:rsidRDefault="00B75671" w:rsidP="00484EDB">
      <w:pPr>
        <w:pStyle w:val="Heading2"/>
      </w:pPr>
      <w:r>
        <w:t>Legacy UEs</w:t>
      </w:r>
    </w:p>
    <w:p w14:paraId="456B8A3F" w14:textId="443A2581" w:rsidR="00484EDB" w:rsidRDefault="00484EDB" w:rsidP="00484EDB">
      <w:pPr>
        <w:rPr>
          <w:lang w:val="en-GB" w:eastAsia="en-US"/>
        </w:rPr>
      </w:pPr>
      <w:r>
        <w:rPr>
          <w:lang w:val="en-GB" w:eastAsia="en-US"/>
        </w:rPr>
        <w:t xml:space="preserve">In the last meeting the following was agreed: </w:t>
      </w:r>
    </w:p>
    <w:p w14:paraId="6DE56A59" w14:textId="4AA13483" w:rsidR="00484EDB" w:rsidRPr="00A066A8" w:rsidRDefault="00484EDB" w:rsidP="00484EDB">
      <w:pPr>
        <w:pStyle w:val="Doc-text2"/>
        <w:pBdr>
          <w:top w:val="single" w:sz="4" w:space="1" w:color="auto"/>
          <w:left w:val="single" w:sz="4" w:space="4" w:color="auto"/>
          <w:bottom w:val="single" w:sz="4" w:space="1" w:color="auto"/>
          <w:right w:val="single" w:sz="4" w:space="4" w:color="auto"/>
        </w:pBdr>
        <w:ind w:left="1136" w:firstLine="0"/>
      </w:pPr>
      <w:r>
        <w:t xml:space="preserve">2. </w:t>
      </w:r>
      <w:r w:rsidRPr="00A066A8">
        <w:t>An IoT NTN network shall be able to inform UE(s) whether S&amp;F Satellite operation is applied, either via NAS or AS (wait for SA2 progress on this)</w:t>
      </w:r>
    </w:p>
    <w:p w14:paraId="05BD9E35" w14:textId="77777777" w:rsidR="00484EDB" w:rsidRDefault="00484EDB" w:rsidP="00484EDB">
      <w:pPr>
        <w:rPr>
          <w:lang w:val="en-GB" w:eastAsia="en-US"/>
        </w:rPr>
      </w:pPr>
    </w:p>
    <w:p w14:paraId="219F2F19" w14:textId="08B911E6" w:rsidR="00CB1002" w:rsidRDefault="00312C5F" w:rsidP="00484EDB">
      <w:pPr>
        <w:rPr>
          <w:lang w:val="en-GB" w:eastAsia="en-US"/>
        </w:rPr>
      </w:pPr>
      <w:r>
        <w:rPr>
          <w:lang w:val="en-GB" w:eastAsia="en-US"/>
        </w:rPr>
        <w:t>One question that came up in</w:t>
      </w:r>
      <w:r w:rsidR="00B75671">
        <w:rPr>
          <w:lang w:val="en-GB" w:eastAsia="en-US"/>
        </w:rPr>
        <w:t xml:space="preserve"> RAN2#125bis w</w:t>
      </w:r>
      <w:r w:rsidR="0033443E">
        <w:rPr>
          <w:lang w:val="en-GB" w:eastAsia="en-US"/>
        </w:rPr>
        <w:t xml:space="preserve">as how to deal with legacy UEs and S&amp;F. </w:t>
      </w:r>
      <w:r w:rsidR="00CB1002">
        <w:rPr>
          <w:lang w:val="en-GB" w:eastAsia="en-US"/>
        </w:rPr>
        <w:t>In the case of a</w:t>
      </w:r>
      <w:r w:rsidR="0084361B">
        <w:rPr>
          <w:lang w:val="en-GB" w:eastAsia="en-US"/>
        </w:rPr>
        <w:t>n</w:t>
      </w:r>
      <w:r w:rsidR="00CB1002">
        <w:rPr>
          <w:lang w:val="en-GB" w:eastAsia="en-US"/>
        </w:rPr>
        <w:t xml:space="preserve"> S&amp;F satellite that temporarily has feeder link connectivity, a legacy UE should likely be able to support connecting to such a satellite. </w:t>
      </w:r>
      <w:r w:rsidR="0084361B">
        <w:rPr>
          <w:lang w:val="en-GB" w:eastAsia="en-US"/>
        </w:rPr>
        <w:t xml:space="preserve">This is because </w:t>
      </w:r>
      <w:r w:rsidR="00603297">
        <w:rPr>
          <w:lang w:val="en-GB" w:eastAsia="en-US"/>
        </w:rPr>
        <w:t>otherwise, legacy UEs may not</w:t>
      </w:r>
      <w:r w:rsidR="00777616">
        <w:rPr>
          <w:lang w:val="en-GB" w:eastAsia="en-US"/>
        </w:rPr>
        <w:t xml:space="preserve"> be supported in a S&amp;F network, and legacy NTN UEs may still be a key use case. </w:t>
      </w:r>
      <w:r w:rsidR="00210286">
        <w:rPr>
          <w:lang w:val="en-GB" w:eastAsia="en-US"/>
        </w:rPr>
        <w:t xml:space="preserve">This is because in many use cases, the most important geographical areas, i.e areas with the most devices, there should be feeder link connectivity.  </w:t>
      </w:r>
    </w:p>
    <w:p w14:paraId="6148E8EF" w14:textId="7969EDD6" w:rsidR="0084361B" w:rsidRDefault="0084361B" w:rsidP="0084361B">
      <w:pPr>
        <w:rPr>
          <w:lang w:val="en-GB" w:eastAsia="en-US"/>
        </w:rPr>
      </w:pPr>
      <w:r>
        <w:rPr>
          <w:b/>
        </w:rPr>
        <w:t>Proposal 3: RAN2 assumes that a legacy UE shall at least be able to connect to an S&amp;F</w:t>
      </w:r>
      <w:r w:rsidR="007A5B6E">
        <w:rPr>
          <w:b/>
        </w:rPr>
        <w:t>(-capable)</w:t>
      </w:r>
      <w:r>
        <w:rPr>
          <w:b/>
        </w:rPr>
        <w:t xml:space="preserve"> eNB that has feeder link connectivity. </w:t>
      </w:r>
    </w:p>
    <w:p w14:paraId="5B775946" w14:textId="0C380746" w:rsidR="005A0DBC" w:rsidRDefault="00B52515" w:rsidP="00484EDB">
      <w:pPr>
        <w:rPr>
          <w:lang w:val="en-GB" w:eastAsia="en-US"/>
        </w:rPr>
      </w:pPr>
      <w:r>
        <w:rPr>
          <w:lang w:val="en-GB" w:eastAsia="en-US"/>
        </w:rPr>
        <w:t>If a legacy UE shall be supported in a S&amp;F network, then we as</w:t>
      </w:r>
      <w:r w:rsidR="00E4679C">
        <w:rPr>
          <w:lang w:val="en-GB" w:eastAsia="en-US"/>
        </w:rPr>
        <w:t xml:space="preserve">sume that when the satellite is becoming a S&amp;F satellite, then </w:t>
      </w:r>
      <w:r w:rsidR="00A10ED3">
        <w:rPr>
          <w:lang w:val="en-GB" w:eastAsia="en-US"/>
        </w:rPr>
        <w:t xml:space="preserve">the UE will have to be released using legacy techniques. </w:t>
      </w:r>
      <w:r w:rsidR="005A0DBC">
        <w:rPr>
          <w:lang w:val="en-GB" w:eastAsia="en-US"/>
        </w:rPr>
        <w:t xml:space="preserve">Thus when the S&amp;F satellite loses connectivity, there does not seem to be much need for the S&amp;F-capable UE to be made aware. </w:t>
      </w:r>
      <w:r w:rsidR="009F0195">
        <w:rPr>
          <w:lang w:val="en-GB" w:eastAsia="en-US"/>
        </w:rPr>
        <w:t xml:space="preserve">Thus we do not see much need to indicate or signal that the S&amp;F eNB has lost feeder link connectivity. </w:t>
      </w:r>
    </w:p>
    <w:p w14:paraId="5C7BB54F" w14:textId="53D581F5" w:rsidR="009F0195" w:rsidRDefault="009F0195" w:rsidP="00484EDB">
      <w:pPr>
        <w:rPr>
          <w:lang w:val="en-GB" w:eastAsia="en-US"/>
        </w:rPr>
      </w:pPr>
      <w:r>
        <w:rPr>
          <w:b/>
        </w:rPr>
        <w:t>Proposal 4: There is no need to indicate to a</w:t>
      </w:r>
      <w:r w:rsidR="002E2280">
        <w:rPr>
          <w:b/>
        </w:rPr>
        <w:t>n</w:t>
      </w:r>
      <w:r>
        <w:rPr>
          <w:b/>
        </w:rPr>
        <w:t xml:space="preserve"> S&amp;F-capable UE that it has lost feeder link connectivity. </w:t>
      </w:r>
    </w:p>
    <w:p w14:paraId="536D2AF7" w14:textId="39226F2D" w:rsidR="00484EDB" w:rsidRDefault="00484EDB" w:rsidP="00AF4DB9">
      <w:pPr>
        <w:pStyle w:val="PatentBody"/>
        <w:numPr>
          <w:ilvl w:val="0"/>
          <w:numId w:val="0"/>
        </w:numPr>
        <w:spacing w:after="180" w:line="240" w:lineRule="auto"/>
        <w:jc w:val="both"/>
        <w:rPr>
          <w:sz w:val="20"/>
        </w:rPr>
      </w:pPr>
    </w:p>
    <w:p w14:paraId="49514EE9" w14:textId="0AF57139" w:rsidR="00422669" w:rsidRDefault="00422669" w:rsidP="00422669">
      <w:pPr>
        <w:pStyle w:val="Heading2"/>
      </w:pPr>
      <w:r>
        <w:t>Relation to discontinuous coverage network</w:t>
      </w:r>
    </w:p>
    <w:p w14:paraId="1698CA8B" w14:textId="672FADA7" w:rsidR="00AB5823" w:rsidRDefault="002D59A1" w:rsidP="00AB5823">
      <w:pPr>
        <w:rPr>
          <w:lang w:val="en-GB" w:eastAsia="en-US"/>
        </w:rPr>
      </w:pPr>
      <w:r>
        <w:rPr>
          <w:lang w:val="en-GB" w:eastAsia="en-US"/>
        </w:rPr>
        <w:t xml:space="preserve">In Release 17, discontinuous coverage was introduced. The enhancement to allow for discontinuous coverage are the following: </w:t>
      </w:r>
    </w:p>
    <w:p w14:paraId="2B25DBFA" w14:textId="61728C3A" w:rsidR="002D59A1" w:rsidRPr="00781E85" w:rsidRDefault="00781E85" w:rsidP="002D59A1">
      <w:pPr>
        <w:pStyle w:val="ListParagraph"/>
        <w:numPr>
          <w:ilvl w:val="2"/>
          <w:numId w:val="46"/>
        </w:numPr>
        <w:rPr>
          <w:sz w:val="20"/>
          <w:lang w:val="en-GB" w:eastAsia="en-US"/>
        </w:rPr>
      </w:pPr>
      <w:r w:rsidRPr="00781E85">
        <w:rPr>
          <w:sz w:val="20"/>
          <w:lang w:val="en-GB" w:eastAsia="en-US"/>
        </w:rPr>
        <w:t>SIB32 indicates long term satellite ephemeris elements</w:t>
      </w:r>
      <w:r w:rsidR="003A1FD5">
        <w:rPr>
          <w:sz w:val="20"/>
          <w:lang w:val="en-GB" w:eastAsia="en-US"/>
        </w:rPr>
        <w:t>.</w:t>
      </w:r>
    </w:p>
    <w:p w14:paraId="4E60F2FA" w14:textId="027A69D6" w:rsidR="002D59A1" w:rsidRPr="00781E85" w:rsidRDefault="00781E85" w:rsidP="002D59A1">
      <w:pPr>
        <w:pStyle w:val="ListParagraph"/>
        <w:numPr>
          <w:ilvl w:val="2"/>
          <w:numId w:val="46"/>
        </w:numPr>
        <w:rPr>
          <w:sz w:val="20"/>
          <w:lang w:val="en-GB" w:eastAsia="en-US"/>
        </w:rPr>
      </w:pPr>
      <w:r w:rsidRPr="00781E85">
        <w:rPr>
          <w:sz w:val="20"/>
          <w:lang w:val="en-GB" w:eastAsia="en-US"/>
        </w:rPr>
        <w:lastRenderedPageBreak/>
        <w:t>Enhancements to idle mode procedure where the UE is allowed to not perform any idle mode procedures related to NTN if the UE detects that there are no satellites that will provide coverage</w:t>
      </w:r>
      <w:r w:rsidR="003A1FD5">
        <w:rPr>
          <w:sz w:val="20"/>
          <w:lang w:val="en-GB" w:eastAsia="en-US"/>
        </w:rPr>
        <w:t>.</w:t>
      </w:r>
    </w:p>
    <w:p w14:paraId="33768E21" w14:textId="5A20AA11" w:rsidR="002D59A1" w:rsidRDefault="003A1FD5" w:rsidP="00AB5823">
      <w:pPr>
        <w:pStyle w:val="ListParagraph"/>
        <w:numPr>
          <w:ilvl w:val="2"/>
          <w:numId w:val="46"/>
        </w:numPr>
        <w:rPr>
          <w:sz w:val="20"/>
          <w:lang w:val="en-GB" w:eastAsia="en-US"/>
        </w:rPr>
      </w:pPr>
      <w:r>
        <w:rPr>
          <w:sz w:val="20"/>
          <w:lang w:val="en-GB" w:eastAsia="en-US"/>
        </w:rPr>
        <w:t>UE can indicate over NAS</w:t>
      </w:r>
      <w:r w:rsidR="0061699A">
        <w:rPr>
          <w:sz w:val="20"/>
          <w:lang w:val="en-GB" w:eastAsia="en-US"/>
        </w:rPr>
        <w:t xml:space="preserve"> (using TAU procedure)</w:t>
      </w:r>
      <w:r>
        <w:rPr>
          <w:sz w:val="20"/>
          <w:lang w:val="en-GB" w:eastAsia="en-US"/>
        </w:rPr>
        <w:t xml:space="preserve"> when it is expected that a UE will enter</w:t>
      </w:r>
      <w:r w:rsidR="0061699A">
        <w:rPr>
          <w:sz w:val="20"/>
          <w:lang w:val="en-GB" w:eastAsia="en-US"/>
        </w:rPr>
        <w:t xml:space="preserve"> discontinuous coverage</w:t>
      </w:r>
      <w:r w:rsidR="00852487">
        <w:rPr>
          <w:sz w:val="20"/>
          <w:lang w:val="en-GB" w:eastAsia="en-US"/>
        </w:rPr>
        <w:t xml:space="preserve"> [3]</w:t>
      </w:r>
      <w:r w:rsidR="0061699A">
        <w:rPr>
          <w:sz w:val="20"/>
          <w:lang w:val="en-GB" w:eastAsia="en-US"/>
        </w:rPr>
        <w:t xml:space="preserve">. </w:t>
      </w:r>
    </w:p>
    <w:p w14:paraId="322928EA" w14:textId="77777777" w:rsidR="00AA31E0" w:rsidRPr="00AA31E0" w:rsidRDefault="00AA31E0" w:rsidP="00AA31E0">
      <w:pPr>
        <w:rPr>
          <w:lang w:val="en-GB" w:eastAsia="en-US"/>
        </w:rPr>
      </w:pPr>
    </w:p>
    <w:p w14:paraId="178CAEE7" w14:textId="5BD8EC82" w:rsidR="00781E85" w:rsidRDefault="00781E85" w:rsidP="00AB5823">
      <w:pPr>
        <w:rPr>
          <w:lang w:val="en-GB" w:eastAsia="en-US"/>
        </w:rPr>
      </w:pPr>
      <w:r>
        <w:rPr>
          <w:lang w:val="en-GB" w:eastAsia="en-US"/>
        </w:rPr>
        <w:t xml:space="preserve">Since a Store and Forward network will likely also be a discontinuous coverage network, we think that a UE capable of S&amp;F can inherit discontinuous coverage features. </w:t>
      </w:r>
    </w:p>
    <w:p w14:paraId="19EB2B7F" w14:textId="3EBAAD9C" w:rsidR="00781E85" w:rsidRDefault="00C965A1" w:rsidP="00781E85">
      <w:pPr>
        <w:rPr>
          <w:lang w:val="en-GB" w:eastAsia="en-US"/>
        </w:rPr>
      </w:pPr>
      <w:r>
        <w:rPr>
          <w:b/>
        </w:rPr>
        <w:t>Proposal 5</w:t>
      </w:r>
      <w:r w:rsidR="00781E85">
        <w:rPr>
          <w:b/>
        </w:rPr>
        <w:t xml:space="preserve">: A UE capable of S&amp;F can be assumed to inherit </w:t>
      </w:r>
      <w:r w:rsidR="003D20BB">
        <w:rPr>
          <w:b/>
        </w:rPr>
        <w:t>discontinuous coverage features</w:t>
      </w:r>
      <w:r w:rsidR="00781E85">
        <w:rPr>
          <w:b/>
        </w:rPr>
        <w:t xml:space="preserve">. </w:t>
      </w:r>
    </w:p>
    <w:p w14:paraId="071B095B" w14:textId="6CB537F5" w:rsidR="005169B6" w:rsidRPr="00617C43" w:rsidRDefault="005169B6" w:rsidP="00617C43">
      <w:pPr>
        <w:rPr>
          <w:lang w:val="en-GB" w:eastAsia="en-US"/>
        </w:rPr>
      </w:pPr>
      <w:bookmarkStart w:id="6" w:name="_GoBack"/>
      <w:bookmarkEnd w:id="6"/>
    </w:p>
    <w:p w14:paraId="5FF2457F" w14:textId="72E1A9E3" w:rsidR="00A209D6" w:rsidRPr="006E13D1" w:rsidRDefault="008C3057" w:rsidP="003F11FC">
      <w:pPr>
        <w:pStyle w:val="Heading1"/>
        <w:jc w:val="both"/>
      </w:pPr>
      <w:r>
        <w:t>Conclusion</w:t>
      </w:r>
    </w:p>
    <w:p w14:paraId="6B206649" w14:textId="43A30918"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sidR="002D59A1">
        <w:rPr>
          <w:lang w:eastAsia="ko-KR"/>
        </w:rPr>
        <w:t xml:space="preserve">issues related to S&amp;F network. </w:t>
      </w:r>
    </w:p>
    <w:p w14:paraId="62AC0104" w14:textId="77777777" w:rsidR="00F1460C" w:rsidRPr="009607A6" w:rsidRDefault="00F1460C" w:rsidP="00F1460C">
      <w:pPr>
        <w:rPr>
          <w:b/>
        </w:rPr>
      </w:pPr>
      <w:r w:rsidRPr="009607A6">
        <w:rPr>
          <w:b/>
        </w:rPr>
        <w:t xml:space="preserve">Observation 1: </w:t>
      </w:r>
      <w:r>
        <w:rPr>
          <w:b/>
        </w:rPr>
        <w:t>The E2E delay in an S&amp;F network may be very large</w:t>
      </w:r>
      <w:r w:rsidRPr="009607A6">
        <w:rPr>
          <w:b/>
        </w:rPr>
        <w:t xml:space="preserve">. </w:t>
      </w:r>
    </w:p>
    <w:p w14:paraId="27432BF7" w14:textId="77777777" w:rsidR="00F1460C" w:rsidRDefault="00F1460C" w:rsidP="00F1460C">
      <w:pPr>
        <w:rPr>
          <w:lang w:val="en-GB" w:eastAsia="en-US"/>
        </w:rPr>
      </w:pPr>
      <w:r>
        <w:rPr>
          <w:b/>
        </w:rPr>
        <w:t xml:space="preserve">Proposal 1: Any adaptations introduced in RAN2 NR NTN for regenerative can be applicable for IoT NTN. </w:t>
      </w:r>
    </w:p>
    <w:p w14:paraId="02220C6E" w14:textId="77777777" w:rsidR="00F1460C" w:rsidRDefault="00F1460C" w:rsidP="00F1460C">
      <w:pPr>
        <w:spacing w:after="60"/>
        <w:rPr>
          <w:b/>
        </w:rPr>
      </w:pPr>
      <w:r>
        <w:rPr>
          <w:b/>
        </w:rPr>
        <w:t xml:space="preserve">Proposal 2: RAN2 to assume all architecture possibilities for S&amp;F for now: </w:t>
      </w:r>
    </w:p>
    <w:p w14:paraId="6F438C42" w14:textId="77777777" w:rsidR="00F1460C" w:rsidRPr="00067854" w:rsidRDefault="00F1460C" w:rsidP="00F1460C">
      <w:pPr>
        <w:pStyle w:val="ListParagraph"/>
        <w:numPr>
          <w:ilvl w:val="2"/>
          <w:numId w:val="46"/>
        </w:numPr>
        <w:rPr>
          <w:sz w:val="20"/>
          <w:lang w:val="en-GB" w:eastAsia="en-US"/>
        </w:rPr>
      </w:pPr>
      <w:r w:rsidRPr="00067854">
        <w:rPr>
          <w:b/>
          <w:sz w:val="20"/>
        </w:rPr>
        <w:t>No core network elements in the satellite</w:t>
      </w:r>
    </w:p>
    <w:p w14:paraId="0D68B7F1" w14:textId="77777777" w:rsidR="00F1460C" w:rsidRPr="00067854" w:rsidRDefault="00F1460C" w:rsidP="00F1460C">
      <w:pPr>
        <w:pStyle w:val="ListParagraph"/>
        <w:numPr>
          <w:ilvl w:val="2"/>
          <w:numId w:val="46"/>
        </w:numPr>
        <w:rPr>
          <w:sz w:val="20"/>
          <w:lang w:val="en-GB" w:eastAsia="en-US"/>
        </w:rPr>
      </w:pPr>
      <w:r w:rsidRPr="00067854">
        <w:rPr>
          <w:b/>
          <w:sz w:val="20"/>
        </w:rPr>
        <w:t>Limited set of core network elements in the satellite</w:t>
      </w:r>
    </w:p>
    <w:p w14:paraId="05655B9E" w14:textId="250BFD5E" w:rsidR="00F1460C" w:rsidRPr="005F0FB1" w:rsidRDefault="00F1460C" w:rsidP="00F1460C">
      <w:pPr>
        <w:pStyle w:val="ListParagraph"/>
        <w:numPr>
          <w:ilvl w:val="2"/>
          <w:numId w:val="46"/>
        </w:numPr>
        <w:rPr>
          <w:sz w:val="20"/>
          <w:lang w:val="en-GB" w:eastAsia="en-US"/>
        </w:rPr>
      </w:pPr>
      <w:r w:rsidRPr="00067854">
        <w:rPr>
          <w:b/>
          <w:sz w:val="20"/>
        </w:rPr>
        <w:t xml:space="preserve">Full core network in the satellite. </w:t>
      </w:r>
    </w:p>
    <w:p w14:paraId="5803BA0A" w14:textId="77777777" w:rsidR="005F0FB1" w:rsidRPr="005F0FB1" w:rsidRDefault="005F0FB1" w:rsidP="005F0FB1">
      <w:pPr>
        <w:rPr>
          <w:lang w:val="en-GB" w:eastAsia="en-US"/>
        </w:rPr>
      </w:pPr>
    </w:p>
    <w:p w14:paraId="0F13CB36" w14:textId="77777777" w:rsidR="00FF4C4F" w:rsidRDefault="00FF4C4F" w:rsidP="00FF4C4F">
      <w:pPr>
        <w:rPr>
          <w:lang w:val="en-GB" w:eastAsia="en-US"/>
        </w:rPr>
      </w:pPr>
      <w:r>
        <w:rPr>
          <w:b/>
        </w:rPr>
        <w:t xml:space="preserve">Proposal 3: RAN2 assumes that a legacy UE shall at least be able to connect to an S&amp;F eNB that has feeder link connectivity. </w:t>
      </w:r>
    </w:p>
    <w:p w14:paraId="7AB186AB" w14:textId="40E76F44" w:rsidR="00AC6E95" w:rsidRDefault="00FF4C4F" w:rsidP="00254045">
      <w:pPr>
        <w:jc w:val="both"/>
        <w:rPr>
          <w:b/>
        </w:rPr>
      </w:pPr>
      <w:r>
        <w:rPr>
          <w:b/>
        </w:rPr>
        <w:t>Proposal 4: There is no need to indicate to a</w:t>
      </w:r>
      <w:r w:rsidR="002E2280">
        <w:rPr>
          <w:b/>
        </w:rPr>
        <w:t>n</w:t>
      </w:r>
      <w:r>
        <w:rPr>
          <w:b/>
        </w:rPr>
        <w:t xml:space="preserve"> S&amp;F-capable UE that it has lost feeder link connectivity.</w:t>
      </w:r>
    </w:p>
    <w:p w14:paraId="37705D39" w14:textId="77777777" w:rsidR="00FF4C4F" w:rsidRDefault="00FF4C4F" w:rsidP="00FF4C4F">
      <w:pPr>
        <w:rPr>
          <w:lang w:val="en-GB" w:eastAsia="en-US"/>
        </w:rPr>
      </w:pPr>
      <w:r>
        <w:rPr>
          <w:b/>
        </w:rPr>
        <w:t xml:space="preserve">Proposal 5: A UE capable of S&amp;F can be assumed to inherit discontinuous coverage features. </w:t>
      </w:r>
    </w:p>
    <w:p w14:paraId="636BBE4C" w14:textId="77777777" w:rsidR="00FF4C4F" w:rsidRDefault="00FF4C4F"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5EBEF5DB" w14:textId="42F58E23" w:rsidR="0049280D" w:rsidRPr="003D7E84" w:rsidRDefault="0049280D" w:rsidP="00BF409E">
      <w:pPr>
        <w:pStyle w:val="references"/>
        <w:spacing w:after="180" w:line="240" w:lineRule="auto"/>
        <w:rPr>
          <w:szCs w:val="20"/>
        </w:rPr>
      </w:pPr>
      <w:r>
        <w:rPr>
          <w:rFonts w:ascii="Arial" w:hAnsi="Arial" w:cs="Arial"/>
          <w:szCs w:val="20"/>
        </w:rPr>
        <w:t>RP-240776, Revised WID on Non-Terrestrial Networks (NTN) for Internet of Things (IoT) Phase 3, Mediatek, RAN#103, Maastrict, Netherlands, March 2024</w:t>
      </w:r>
    </w:p>
    <w:p w14:paraId="615AA350" w14:textId="4F2C8B05" w:rsidR="003D7E84" w:rsidRPr="00852487" w:rsidRDefault="003D7E84" w:rsidP="00BF409E">
      <w:pPr>
        <w:pStyle w:val="references"/>
        <w:spacing w:after="180" w:line="240" w:lineRule="auto"/>
        <w:rPr>
          <w:szCs w:val="20"/>
        </w:rPr>
      </w:pPr>
      <w:r>
        <w:rPr>
          <w:rFonts w:ascii="Arial" w:hAnsi="Arial" w:cs="Arial"/>
          <w:szCs w:val="20"/>
        </w:rPr>
        <w:t xml:space="preserve">RP-240775, Revised WID: Non-Terrestrial Networks () for NR Phase 3, Thales, CATT, RAN#103, Maastricht, Netherlands, March 2024. </w:t>
      </w:r>
    </w:p>
    <w:p w14:paraId="7ADE167B" w14:textId="7A0786B0" w:rsidR="00852487" w:rsidRPr="0049280D" w:rsidRDefault="00852487" w:rsidP="00BF409E">
      <w:pPr>
        <w:pStyle w:val="references"/>
        <w:spacing w:after="180" w:line="240" w:lineRule="auto"/>
        <w:rPr>
          <w:szCs w:val="20"/>
        </w:rPr>
      </w:pPr>
      <w:r>
        <w:rPr>
          <w:rFonts w:ascii="Arial" w:hAnsi="Arial" w:cs="Arial"/>
          <w:szCs w:val="20"/>
        </w:rPr>
        <w:t>3GPP</w:t>
      </w:r>
      <w:r w:rsidR="00A51F2B">
        <w:rPr>
          <w:rFonts w:ascii="Arial" w:hAnsi="Arial" w:cs="Arial"/>
          <w:szCs w:val="20"/>
        </w:rPr>
        <w:t xml:space="preserve"> TS</w:t>
      </w:r>
      <w:r>
        <w:rPr>
          <w:rFonts w:ascii="Arial" w:hAnsi="Arial" w:cs="Arial"/>
          <w:szCs w:val="20"/>
        </w:rPr>
        <w:t xml:space="preserve"> 23.401 “</w:t>
      </w:r>
      <w:r w:rsidR="00A51F2B">
        <w:rPr>
          <w:rFonts w:ascii="Arial" w:hAnsi="Arial" w:cs="Arial"/>
          <w:szCs w:val="20"/>
        </w:rPr>
        <w:t>General Packet Radio Service (GPRS) enhancements for Evolved Universal Terrestrial Radio Access Network (E-UTRAN) access</w:t>
      </w:r>
      <w:r>
        <w:rPr>
          <w:rFonts w:ascii="Arial" w:hAnsi="Arial" w:cs="Arial"/>
          <w:szCs w:val="20"/>
        </w:rPr>
        <w:t>”</w:t>
      </w:r>
      <w:r w:rsidR="00A51F2B">
        <w:rPr>
          <w:rFonts w:ascii="Arial" w:hAnsi="Arial" w:cs="Arial"/>
          <w:szCs w:val="20"/>
        </w:rPr>
        <w:t xml:space="preserve">, Release 18, V18.5.0, March 2024. </w:t>
      </w:r>
    </w:p>
    <w:p w14:paraId="7DE0901A" w14:textId="70173340"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E812E" w14:textId="77777777" w:rsidR="001975BA" w:rsidRDefault="001975BA" w:rsidP="00051DF8">
      <w:r>
        <w:separator/>
      </w:r>
    </w:p>
  </w:endnote>
  <w:endnote w:type="continuationSeparator" w:id="0">
    <w:p w14:paraId="2479516A" w14:textId="77777777" w:rsidR="001975BA" w:rsidRDefault="001975BA" w:rsidP="00051DF8">
      <w:r>
        <w:continuationSeparator/>
      </w:r>
    </w:p>
  </w:endnote>
  <w:endnote w:type="continuationNotice" w:id="1">
    <w:p w14:paraId="5ACDD505" w14:textId="77777777" w:rsidR="001975BA" w:rsidRDefault="001975BA"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48E51" w14:textId="77777777" w:rsidR="001975BA" w:rsidRDefault="001975BA" w:rsidP="00051DF8">
      <w:r>
        <w:separator/>
      </w:r>
    </w:p>
  </w:footnote>
  <w:footnote w:type="continuationSeparator" w:id="0">
    <w:p w14:paraId="14DD7D09" w14:textId="77777777" w:rsidR="001975BA" w:rsidRDefault="001975BA" w:rsidP="00051DF8">
      <w:r>
        <w:continuationSeparator/>
      </w:r>
    </w:p>
  </w:footnote>
  <w:footnote w:type="continuationNotice" w:id="1">
    <w:p w14:paraId="310D9D1C" w14:textId="77777777" w:rsidR="001975BA" w:rsidRDefault="001975BA"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131D5C"/>
    <w:multiLevelType w:val="hybridMultilevel"/>
    <w:tmpl w:val="265E5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2D1A2F"/>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76332CC"/>
    <w:multiLevelType w:val="hybridMultilevel"/>
    <w:tmpl w:val="F4AE7E3E"/>
    <w:lvl w:ilvl="0" w:tplc="EA5EE028">
      <w:start w:val="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FD40CD"/>
    <w:multiLevelType w:val="hybridMultilevel"/>
    <w:tmpl w:val="06ECFCB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7"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9F72F04"/>
    <w:multiLevelType w:val="hybridMultilevel"/>
    <w:tmpl w:val="BB38CC96"/>
    <w:lvl w:ilvl="0" w:tplc="EA5EE028">
      <w:start w:val="2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5CBE3D26"/>
    <w:multiLevelType w:val="hybridMultilevel"/>
    <w:tmpl w:val="415A6722"/>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1" w15:restartNumberingAfterBreak="0">
    <w:nsid w:val="69CC1740"/>
    <w:multiLevelType w:val="hybridMultilevel"/>
    <w:tmpl w:val="8236B660"/>
    <w:lvl w:ilvl="0" w:tplc="9386ED8A">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40"/>
  </w:num>
  <w:num w:numId="2">
    <w:abstractNumId w:val="42"/>
  </w:num>
  <w:num w:numId="3">
    <w:abstractNumId w:val="29"/>
  </w:num>
  <w:num w:numId="4">
    <w:abstractNumId w:val="25"/>
  </w:num>
  <w:num w:numId="5">
    <w:abstractNumId w:val="26"/>
  </w:num>
  <w:num w:numId="6">
    <w:abstractNumId w:val="22"/>
  </w:num>
  <w:num w:numId="7">
    <w:abstractNumId w:val="15"/>
  </w:num>
  <w:num w:numId="8">
    <w:abstractNumId w:val="27"/>
  </w:num>
  <w:num w:numId="9">
    <w:abstractNumId w:val="17"/>
  </w:num>
  <w:num w:numId="10">
    <w:abstractNumId w:val="24"/>
  </w:num>
  <w:num w:numId="11">
    <w:abstractNumId w:val="1"/>
  </w:num>
  <w:num w:numId="12">
    <w:abstractNumId w:val="4"/>
  </w:num>
  <w:num w:numId="13">
    <w:abstractNumId w:val="31"/>
  </w:num>
  <w:num w:numId="14">
    <w:abstractNumId w:val="0"/>
  </w:num>
  <w:num w:numId="15">
    <w:abstractNumId w:val="28"/>
  </w:num>
  <w:num w:numId="16">
    <w:abstractNumId w:val="35"/>
  </w:num>
  <w:num w:numId="17">
    <w:abstractNumId w:val="39"/>
  </w:num>
  <w:num w:numId="18">
    <w:abstractNumId w:val="48"/>
  </w:num>
  <w:num w:numId="19">
    <w:abstractNumId w:val="19"/>
  </w:num>
  <w:num w:numId="20">
    <w:abstractNumId w:val="33"/>
  </w:num>
  <w:num w:numId="21">
    <w:abstractNumId w:val="3"/>
  </w:num>
  <w:num w:numId="22">
    <w:abstractNumId w:val="6"/>
  </w:num>
  <w:num w:numId="23">
    <w:abstractNumId w:val="46"/>
  </w:num>
  <w:num w:numId="24">
    <w:abstractNumId w:val="9"/>
  </w:num>
  <w:num w:numId="25">
    <w:abstractNumId w:val="37"/>
  </w:num>
  <w:num w:numId="26">
    <w:abstractNumId w:val="18"/>
  </w:num>
  <w:num w:numId="27">
    <w:abstractNumId w:val="8"/>
  </w:num>
  <w:num w:numId="28">
    <w:abstractNumId w:val="23"/>
  </w:num>
  <w:num w:numId="29">
    <w:abstractNumId w:val="12"/>
  </w:num>
  <w:num w:numId="30">
    <w:abstractNumId w:val="49"/>
  </w:num>
  <w:num w:numId="31">
    <w:abstractNumId w:val="43"/>
  </w:num>
  <w:num w:numId="32">
    <w:abstractNumId w:val="11"/>
  </w:num>
  <w:num w:numId="33">
    <w:abstractNumId w:val="20"/>
  </w:num>
  <w:num w:numId="34">
    <w:abstractNumId w:val="21"/>
  </w:num>
  <w:num w:numId="35">
    <w:abstractNumId w:val="38"/>
  </w:num>
  <w:num w:numId="36">
    <w:abstractNumId w:val="5"/>
  </w:num>
  <w:num w:numId="37">
    <w:abstractNumId w:val="10"/>
  </w:num>
  <w:num w:numId="38">
    <w:abstractNumId w:val="32"/>
  </w:num>
  <w:num w:numId="39">
    <w:abstractNumId w:val="13"/>
  </w:num>
  <w:num w:numId="40">
    <w:abstractNumId w:val="14"/>
  </w:num>
  <w:num w:numId="41">
    <w:abstractNumId w:val="34"/>
  </w:num>
  <w:num w:numId="42">
    <w:abstractNumId w:val="16"/>
  </w:num>
  <w:num w:numId="43">
    <w:abstractNumId w:val="2"/>
  </w:num>
  <w:num w:numId="44">
    <w:abstractNumId w:val="41"/>
  </w:num>
  <w:num w:numId="45">
    <w:abstractNumId w:val="30"/>
  </w:num>
  <w:num w:numId="46">
    <w:abstractNumId w:val="47"/>
  </w:num>
  <w:num w:numId="47">
    <w:abstractNumId w:val="45"/>
  </w:num>
  <w:num w:numId="48">
    <w:abstractNumId w:val="44"/>
  </w:num>
  <w:num w:numId="49">
    <w:abstractNumId w:val="36"/>
  </w:num>
  <w:num w:numId="5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5D"/>
    <w:rsid w:val="00035DDB"/>
    <w:rsid w:val="00035DF0"/>
    <w:rsid w:val="00036A24"/>
    <w:rsid w:val="000375A6"/>
    <w:rsid w:val="00040095"/>
    <w:rsid w:val="000403D7"/>
    <w:rsid w:val="00040932"/>
    <w:rsid w:val="0004169F"/>
    <w:rsid w:val="00042C77"/>
    <w:rsid w:val="0004383E"/>
    <w:rsid w:val="0004585B"/>
    <w:rsid w:val="000472BC"/>
    <w:rsid w:val="000516AD"/>
    <w:rsid w:val="00051A55"/>
    <w:rsid w:val="00051D35"/>
    <w:rsid w:val="00051DF8"/>
    <w:rsid w:val="00051EFD"/>
    <w:rsid w:val="00052840"/>
    <w:rsid w:val="0005302A"/>
    <w:rsid w:val="0005588D"/>
    <w:rsid w:val="00060D3E"/>
    <w:rsid w:val="00064501"/>
    <w:rsid w:val="000647B6"/>
    <w:rsid w:val="00064A09"/>
    <w:rsid w:val="00064E50"/>
    <w:rsid w:val="00065268"/>
    <w:rsid w:val="00067854"/>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4568"/>
    <w:rsid w:val="00094C6B"/>
    <w:rsid w:val="00095044"/>
    <w:rsid w:val="000A4C20"/>
    <w:rsid w:val="000A60C3"/>
    <w:rsid w:val="000A627A"/>
    <w:rsid w:val="000B0115"/>
    <w:rsid w:val="000B02F8"/>
    <w:rsid w:val="000B0B40"/>
    <w:rsid w:val="000B0BF3"/>
    <w:rsid w:val="000B0EF0"/>
    <w:rsid w:val="000B1752"/>
    <w:rsid w:val="000B40D8"/>
    <w:rsid w:val="000B4877"/>
    <w:rsid w:val="000B6398"/>
    <w:rsid w:val="000B66D6"/>
    <w:rsid w:val="000B7BCF"/>
    <w:rsid w:val="000C18FE"/>
    <w:rsid w:val="000C259D"/>
    <w:rsid w:val="000C2B2C"/>
    <w:rsid w:val="000C522B"/>
    <w:rsid w:val="000C5340"/>
    <w:rsid w:val="000D2E51"/>
    <w:rsid w:val="000D3336"/>
    <w:rsid w:val="000D4B95"/>
    <w:rsid w:val="000D58AB"/>
    <w:rsid w:val="000D64F1"/>
    <w:rsid w:val="000D6E3F"/>
    <w:rsid w:val="000D75DC"/>
    <w:rsid w:val="000E01FF"/>
    <w:rsid w:val="000E08A8"/>
    <w:rsid w:val="000E22C8"/>
    <w:rsid w:val="000E3934"/>
    <w:rsid w:val="000E4069"/>
    <w:rsid w:val="000E5108"/>
    <w:rsid w:val="000E6808"/>
    <w:rsid w:val="000F3D49"/>
    <w:rsid w:val="000F431E"/>
    <w:rsid w:val="000F481F"/>
    <w:rsid w:val="000F526A"/>
    <w:rsid w:val="000F57DC"/>
    <w:rsid w:val="000F678B"/>
    <w:rsid w:val="000F6A70"/>
    <w:rsid w:val="000F6CE7"/>
    <w:rsid w:val="000F7A11"/>
    <w:rsid w:val="00100327"/>
    <w:rsid w:val="00100A0F"/>
    <w:rsid w:val="001010DB"/>
    <w:rsid w:val="001011C1"/>
    <w:rsid w:val="001032C0"/>
    <w:rsid w:val="0010368C"/>
    <w:rsid w:val="00104660"/>
    <w:rsid w:val="0010781D"/>
    <w:rsid w:val="00111BB4"/>
    <w:rsid w:val="00112AE8"/>
    <w:rsid w:val="00112F1A"/>
    <w:rsid w:val="00115254"/>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70A3"/>
    <w:rsid w:val="0014230B"/>
    <w:rsid w:val="00143363"/>
    <w:rsid w:val="001436BC"/>
    <w:rsid w:val="001446F4"/>
    <w:rsid w:val="00145075"/>
    <w:rsid w:val="0014623B"/>
    <w:rsid w:val="0015006E"/>
    <w:rsid w:val="001500B8"/>
    <w:rsid w:val="00152D97"/>
    <w:rsid w:val="001617E5"/>
    <w:rsid w:val="00161BC0"/>
    <w:rsid w:val="001644D9"/>
    <w:rsid w:val="00165A0D"/>
    <w:rsid w:val="00166728"/>
    <w:rsid w:val="0016769C"/>
    <w:rsid w:val="00170047"/>
    <w:rsid w:val="00171DA1"/>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5BA"/>
    <w:rsid w:val="00197FF3"/>
    <w:rsid w:val="001A18D7"/>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6647"/>
    <w:rsid w:val="001E2E76"/>
    <w:rsid w:val="001E2FCC"/>
    <w:rsid w:val="001E44A9"/>
    <w:rsid w:val="001F168B"/>
    <w:rsid w:val="001F4157"/>
    <w:rsid w:val="001F7831"/>
    <w:rsid w:val="002013CD"/>
    <w:rsid w:val="00201BD1"/>
    <w:rsid w:val="00203174"/>
    <w:rsid w:val="00204045"/>
    <w:rsid w:val="0020712B"/>
    <w:rsid w:val="00210286"/>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46A7"/>
    <w:rsid w:val="00234C99"/>
    <w:rsid w:val="0023661D"/>
    <w:rsid w:val="0024157F"/>
    <w:rsid w:val="00241AC5"/>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613A"/>
    <w:rsid w:val="00257070"/>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59A1"/>
    <w:rsid w:val="002D6446"/>
    <w:rsid w:val="002D657A"/>
    <w:rsid w:val="002E00B5"/>
    <w:rsid w:val="002E2061"/>
    <w:rsid w:val="002E2280"/>
    <w:rsid w:val="002E246F"/>
    <w:rsid w:val="002E26C0"/>
    <w:rsid w:val="002E6003"/>
    <w:rsid w:val="002E79BB"/>
    <w:rsid w:val="002F0D22"/>
    <w:rsid w:val="002F12A5"/>
    <w:rsid w:val="002F15AA"/>
    <w:rsid w:val="002F244D"/>
    <w:rsid w:val="002F3DF3"/>
    <w:rsid w:val="002F5304"/>
    <w:rsid w:val="002F714B"/>
    <w:rsid w:val="0030030F"/>
    <w:rsid w:val="003017C6"/>
    <w:rsid w:val="00301D80"/>
    <w:rsid w:val="003026A0"/>
    <w:rsid w:val="003041E0"/>
    <w:rsid w:val="0030563B"/>
    <w:rsid w:val="00305DAA"/>
    <w:rsid w:val="00306241"/>
    <w:rsid w:val="003073B9"/>
    <w:rsid w:val="00307E63"/>
    <w:rsid w:val="003105EB"/>
    <w:rsid w:val="00310D9A"/>
    <w:rsid w:val="00311B17"/>
    <w:rsid w:val="00312C5F"/>
    <w:rsid w:val="003133F1"/>
    <w:rsid w:val="00313BD2"/>
    <w:rsid w:val="00314A00"/>
    <w:rsid w:val="003172DC"/>
    <w:rsid w:val="0032086B"/>
    <w:rsid w:val="003211D6"/>
    <w:rsid w:val="003217AC"/>
    <w:rsid w:val="00323D2C"/>
    <w:rsid w:val="003243BA"/>
    <w:rsid w:val="00324E66"/>
    <w:rsid w:val="003255FD"/>
    <w:rsid w:val="00325AE3"/>
    <w:rsid w:val="00326069"/>
    <w:rsid w:val="00327E5D"/>
    <w:rsid w:val="00331565"/>
    <w:rsid w:val="00333345"/>
    <w:rsid w:val="0033443E"/>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1FD5"/>
    <w:rsid w:val="003A229C"/>
    <w:rsid w:val="003A3DB5"/>
    <w:rsid w:val="003A41EF"/>
    <w:rsid w:val="003A527F"/>
    <w:rsid w:val="003A56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3519"/>
    <w:rsid w:val="003D4028"/>
    <w:rsid w:val="003D4B16"/>
    <w:rsid w:val="003D5678"/>
    <w:rsid w:val="003D7E84"/>
    <w:rsid w:val="003E01A2"/>
    <w:rsid w:val="003E06FD"/>
    <w:rsid w:val="003E136B"/>
    <w:rsid w:val="003E16BE"/>
    <w:rsid w:val="003E17A4"/>
    <w:rsid w:val="003E4022"/>
    <w:rsid w:val="003E45E3"/>
    <w:rsid w:val="003E676B"/>
    <w:rsid w:val="003F11FC"/>
    <w:rsid w:val="003F209E"/>
    <w:rsid w:val="003F24B6"/>
    <w:rsid w:val="003F2920"/>
    <w:rsid w:val="003F3214"/>
    <w:rsid w:val="003F4E28"/>
    <w:rsid w:val="003F7CC9"/>
    <w:rsid w:val="004006E8"/>
    <w:rsid w:val="00401855"/>
    <w:rsid w:val="0040228D"/>
    <w:rsid w:val="0040702D"/>
    <w:rsid w:val="0041304C"/>
    <w:rsid w:val="00413F2F"/>
    <w:rsid w:val="00414017"/>
    <w:rsid w:val="004141BB"/>
    <w:rsid w:val="0041434A"/>
    <w:rsid w:val="004174EF"/>
    <w:rsid w:val="00417846"/>
    <w:rsid w:val="004202DC"/>
    <w:rsid w:val="004202E2"/>
    <w:rsid w:val="00421DF5"/>
    <w:rsid w:val="00422669"/>
    <w:rsid w:val="0042280C"/>
    <w:rsid w:val="00427D3B"/>
    <w:rsid w:val="00431669"/>
    <w:rsid w:val="004322B3"/>
    <w:rsid w:val="00432BC9"/>
    <w:rsid w:val="00432BE2"/>
    <w:rsid w:val="00432F4A"/>
    <w:rsid w:val="00434571"/>
    <w:rsid w:val="00441FD9"/>
    <w:rsid w:val="004433CF"/>
    <w:rsid w:val="0044406B"/>
    <w:rsid w:val="0044738E"/>
    <w:rsid w:val="004511CD"/>
    <w:rsid w:val="00451527"/>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3C72"/>
    <w:rsid w:val="0047489A"/>
    <w:rsid w:val="00474B04"/>
    <w:rsid w:val="00477252"/>
    <w:rsid w:val="00477455"/>
    <w:rsid w:val="004779FB"/>
    <w:rsid w:val="00484EDB"/>
    <w:rsid w:val="00487060"/>
    <w:rsid w:val="004901A6"/>
    <w:rsid w:val="00490325"/>
    <w:rsid w:val="00490B45"/>
    <w:rsid w:val="00490C92"/>
    <w:rsid w:val="00490EA3"/>
    <w:rsid w:val="0049280D"/>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01EC"/>
    <w:rsid w:val="004E213A"/>
    <w:rsid w:val="004E22D0"/>
    <w:rsid w:val="004E22ED"/>
    <w:rsid w:val="004E236C"/>
    <w:rsid w:val="004E4988"/>
    <w:rsid w:val="004E4C70"/>
    <w:rsid w:val="004E4E09"/>
    <w:rsid w:val="004E6D2F"/>
    <w:rsid w:val="004F10E9"/>
    <w:rsid w:val="004F186F"/>
    <w:rsid w:val="004F1E7F"/>
    <w:rsid w:val="004F3ADA"/>
    <w:rsid w:val="004F4540"/>
    <w:rsid w:val="004F73A7"/>
    <w:rsid w:val="004F7C51"/>
    <w:rsid w:val="004F7EB5"/>
    <w:rsid w:val="00501D49"/>
    <w:rsid w:val="00503171"/>
    <w:rsid w:val="00503CB5"/>
    <w:rsid w:val="00506C28"/>
    <w:rsid w:val="00506E96"/>
    <w:rsid w:val="005075B6"/>
    <w:rsid w:val="00512FDF"/>
    <w:rsid w:val="005134A6"/>
    <w:rsid w:val="00513CB8"/>
    <w:rsid w:val="00514D21"/>
    <w:rsid w:val="005154AF"/>
    <w:rsid w:val="00515659"/>
    <w:rsid w:val="005169B6"/>
    <w:rsid w:val="00516A0D"/>
    <w:rsid w:val="005214BC"/>
    <w:rsid w:val="005236B8"/>
    <w:rsid w:val="005236BB"/>
    <w:rsid w:val="00524A37"/>
    <w:rsid w:val="00525FEC"/>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A98"/>
    <w:rsid w:val="0054761B"/>
    <w:rsid w:val="00547A10"/>
    <w:rsid w:val="00547C85"/>
    <w:rsid w:val="0055000F"/>
    <w:rsid w:val="00551763"/>
    <w:rsid w:val="005525D5"/>
    <w:rsid w:val="0055422F"/>
    <w:rsid w:val="005545EE"/>
    <w:rsid w:val="00555852"/>
    <w:rsid w:val="00557338"/>
    <w:rsid w:val="005625DD"/>
    <w:rsid w:val="005642A1"/>
    <w:rsid w:val="00565087"/>
    <w:rsid w:val="0056573F"/>
    <w:rsid w:val="0056656C"/>
    <w:rsid w:val="005667D3"/>
    <w:rsid w:val="00571279"/>
    <w:rsid w:val="00572337"/>
    <w:rsid w:val="00572564"/>
    <w:rsid w:val="00572895"/>
    <w:rsid w:val="005739BD"/>
    <w:rsid w:val="005739CE"/>
    <w:rsid w:val="00575070"/>
    <w:rsid w:val="005752D5"/>
    <w:rsid w:val="0057598B"/>
    <w:rsid w:val="0058077E"/>
    <w:rsid w:val="005812D1"/>
    <w:rsid w:val="00583007"/>
    <w:rsid w:val="00584044"/>
    <w:rsid w:val="0058460B"/>
    <w:rsid w:val="00591E74"/>
    <w:rsid w:val="0059328F"/>
    <w:rsid w:val="00594B6F"/>
    <w:rsid w:val="00595AAB"/>
    <w:rsid w:val="00596097"/>
    <w:rsid w:val="00596B5D"/>
    <w:rsid w:val="0059778B"/>
    <w:rsid w:val="005A0DBC"/>
    <w:rsid w:val="005A1953"/>
    <w:rsid w:val="005A4665"/>
    <w:rsid w:val="005A49C6"/>
    <w:rsid w:val="005A4D6D"/>
    <w:rsid w:val="005A68D5"/>
    <w:rsid w:val="005A6CA2"/>
    <w:rsid w:val="005B598B"/>
    <w:rsid w:val="005C007C"/>
    <w:rsid w:val="005C0359"/>
    <w:rsid w:val="005C1A18"/>
    <w:rsid w:val="005C2F10"/>
    <w:rsid w:val="005C3590"/>
    <w:rsid w:val="005C4665"/>
    <w:rsid w:val="005C4726"/>
    <w:rsid w:val="005C64F2"/>
    <w:rsid w:val="005C76A8"/>
    <w:rsid w:val="005C78A8"/>
    <w:rsid w:val="005D1091"/>
    <w:rsid w:val="005D2171"/>
    <w:rsid w:val="005D2C61"/>
    <w:rsid w:val="005D2ED5"/>
    <w:rsid w:val="005D3AC8"/>
    <w:rsid w:val="005D4207"/>
    <w:rsid w:val="005D6E49"/>
    <w:rsid w:val="005D725F"/>
    <w:rsid w:val="005E15B1"/>
    <w:rsid w:val="005E28FB"/>
    <w:rsid w:val="005F0D6D"/>
    <w:rsid w:val="005F0FB1"/>
    <w:rsid w:val="005F2403"/>
    <w:rsid w:val="005F2F16"/>
    <w:rsid w:val="00600A62"/>
    <w:rsid w:val="0060107D"/>
    <w:rsid w:val="00601EDF"/>
    <w:rsid w:val="00601F46"/>
    <w:rsid w:val="006024AF"/>
    <w:rsid w:val="00602F40"/>
    <w:rsid w:val="00603297"/>
    <w:rsid w:val="00603B63"/>
    <w:rsid w:val="00603D62"/>
    <w:rsid w:val="00604294"/>
    <w:rsid w:val="006048A8"/>
    <w:rsid w:val="0060686C"/>
    <w:rsid w:val="00606E38"/>
    <w:rsid w:val="0061000C"/>
    <w:rsid w:val="00610FFB"/>
    <w:rsid w:val="00611566"/>
    <w:rsid w:val="00611868"/>
    <w:rsid w:val="0061204E"/>
    <w:rsid w:val="0061216D"/>
    <w:rsid w:val="00613366"/>
    <w:rsid w:val="006148EC"/>
    <w:rsid w:val="006150D4"/>
    <w:rsid w:val="006160D7"/>
    <w:rsid w:val="0061699A"/>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6509"/>
    <w:rsid w:val="00646D99"/>
    <w:rsid w:val="006479C4"/>
    <w:rsid w:val="006504D6"/>
    <w:rsid w:val="00650567"/>
    <w:rsid w:val="006510E9"/>
    <w:rsid w:val="00652428"/>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417C"/>
    <w:rsid w:val="006662B7"/>
    <w:rsid w:val="00670C14"/>
    <w:rsid w:val="00671109"/>
    <w:rsid w:val="00672522"/>
    <w:rsid w:val="00674D79"/>
    <w:rsid w:val="0067709E"/>
    <w:rsid w:val="00677439"/>
    <w:rsid w:val="0067758B"/>
    <w:rsid w:val="0067783E"/>
    <w:rsid w:val="00677F5B"/>
    <w:rsid w:val="00682727"/>
    <w:rsid w:val="00682BF2"/>
    <w:rsid w:val="00684C62"/>
    <w:rsid w:val="006854C3"/>
    <w:rsid w:val="00690ED2"/>
    <w:rsid w:val="00694F59"/>
    <w:rsid w:val="00695261"/>
    <w:rsid w:val="00696821"/>
    <w:rsid w:val="006A19A8"/>
    <w:rsid w:val="006A1A2B"/>
    <w:rsid w:val="006A242E"/>
    <w:rsid w:val="006A26F7"/>
    <w:rsid w:val="006A416F"/>
    <w:rsid w:val="006A45A9"/>
    <w:rsid w:val="006A4A4B"/>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D6F"/>
    <w:rsid w:val="006D530C"/>
    <w:rsid w:val="006D554E"/>
    <w:rsid w:val="006D5958"/>
    <w:rsid w:val="006E0403"/>
    <w:rsid w:val="006E1057"/>
    <w:rsid w:val="006E1417"/>
    <w:rsid w:val="006E19AF"/>
    <w:rsid w:val="006E401D"/>
    <w:rsid w:val="006E4AE6"/>
    <w:rsid w:val="006F4552"/>
    <w:rsid w:val="006F4A1F"/>
    <w:rsid w:val="006F4C4E"/>
    <w:rsid w:val="006F69EC"/>
    <w:rsid w:val="006F6A2C"/>
    <w:rsid w:val="00701313"/>
    <w:rsid w:val="00701323"/>
    <w:rsid w:val="007029D0"/>
    <w:rsid w:val="00704BA9"/>
    <w:rsid w:val="00705BC0"/>
    <w:rsid w:val="00705EFC"/>
    <w:rsid w:val="007069DC"/>
    <w:rsid w:val="00710201"/>
    <w:rsid w:val="007102CD"/>
    <w:rsid w:val="0071056C"/>
    <w:rsid w:val="00710D4C"/>
    <w:rsid w:val="0071194B"/>
    <w:rsid w:val="007129D3"/>
    <w:rsid w:val="00713E60"/>
    <w:rsid w:val="0072023D"/>
    <w:rsid w:val="0072073A"/>
    <w:rsid w:val="007217A0"/>
    <w:rsid w:val="00721D97"/>
    <w:rsid w:val="00722548"/>
    <w:rsid w:val="00723B0B"/>
    <w:rsid w:val="00724DB3"/>
    <w:rsid w:val="00724F42"/>
    <w:rsid w:val="00725C33"/>
    <w:rsid w:val="00725FDD"/>
    <w:rsid w:val="007304B2"/>
    <w:rsid w:val="0073133A"/>
    <w:rsid w:val="00732B74"/>
    <w:rsid w:val="007342B5"/>
    <w:rsid w:val="0073449A"/>
    <w:rsid w:val="00734A5B"/>
    <w:rsid w:val="0073620F"/>
    <w:rsid w:val="00737B6B"/>
    <w:rsid w:val="00740C0A"/>
    <w:rsid w:val="00741328"/>
    <w:rsid w:val="00742288"/>
    <w:rsid w:val="00742482"/>
    <w:rsid w:val="00744E76"/>
    <w:rsid w:val="00745AC8"/>
    <w:rsid w:val="007469FD"/>
    <w:rsid w:val="00746A9C"/>
    <w:rsid w:val="007522E2"/>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B6E"/>
    <w:rsid w:val="007A7099"/>
    <w:rsid w:val="007A74F5"/>
    <w:rsid w:val="007B09F5"/>
    <w:rsid w:val="007B18D8"/>
    <w:rsid w:val="007B20AA"/>
    <w:rsid w:val="007B2202"/>
    <w:rsid w:val="007B2A65"/>
    <w:rsid w:val="007B2DC7"/>
    <w:rsid w:val="007B32DC"/>
    <w:rsid w:val="007B3C9A"/>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E1392"/>
    <w:rsid w:val="007E26E9"/>
    <w:rsid w:val="007E2EF9"/>
    <w:rsid w:val="007E312F"/>
    <w:rsid w:val="007E34F3"/>
    <w:rsid w:val="007E43E4"/>
    <w:rsid w:val="007E648C"/>
    <w:rsid w:val="007F03B5"/>
    <w:rsid w:val="007F09F2"/>
    <w:rsid w:val="007F2D37"/>
    <w:rsid w:val="007F2E08"/>
    <w:rsid w:val="007F4297"/>
    <w:rsid w:val="007F58BE"/>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361B"/>
    <w:rsid w:val="00844CDD"/>
    <w:rsid w:val="00845D11"/>
    <w:rsid w:val="00847C73"/>
    <w:rsid w:val="0085098A"/>
    <w:rsid w:val="00850C3E"/>
    <w:rsid w:val="00851443"/>
    <w:rsid w:val="008515D4"/>
    <w:rsid w:val="00852487"/>
    <w:rsid w:val="008554CE"/>
    <w:rsid w:val="00856568"/>
    <w:rsid w:val="00860623"/>
    <w:rsid w:val="008607A8"/>
    <w:rsid w:val="00861551"/>
    <w:rsid w:val="00861FEE"/>
    <w:rsid w:val="00862027"/>
    <w:rsid w:val="0086354A"/>
    <w:rsid w:val="00865EDE"/>
    <w:rsid w:val="00866A0C"/>
    <w:rsid w:val="00870576"/>
    <w:rsid w:val="008732D6"/>
    <w:rsid w:val="00875EB1"/>
    <w:rsid w:val="008768CA"/>
    <w:rsid w:val="00877BFB"/>
    <w:rsid w:val="00877EF9"/>
    <w:rsid w:val="00880559"/>
    <w:rsid w:val="00880811"/>
    <w:rsid w:val="008818E2"/>
    <w:rsid w:val="00882533"/>
    <w:rsid w:val="00883501"/>
    <w:rsid w:val="008849F5"/>
    <w:rsid w:val="0088726A"/>
    <w:rsid w:val="008901EA"/>
    <w:rsid w:val="00890D75"/>
    <w:rsid w:val="00892166"/>
    <w:rsid w:val="00892D9D"/>
    <w:rsid w:val="00894B26"/>
    <w:rsid w:val="00895A0B"/>
    <w:rsid w:val="00895FC5"/>
    <w:rsid w:val="008961F0"/>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61D6"/>
    <w:rsid w:val="008D6817"/>
    <w:rsid w:val="008E0988"/>
    <w:rsid w:val="008E198F"/>
    <w:rsid w:val="008E1D3C"/>
    <w:rsid w:val="008E4AF8"/>
    <w:rsid w:val="008E799C"/>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120B"/>
    <w:rsid w:val="00921E6D"/>
    <w:rsid w:val="00921FD2"/>
    <w:rsid w:val="0092209D"/>
    <w:rsid w:val="00923655"/>
    <w:rsid w:val="00923C5B"/>
    <w:rsid w:val="0092601D"/>
    <w:rsid w:val="0092610E"/>
    <w:rsid w:val="00931699"/>
    <w:rsid w:val="009322D7"/>
    <w:rsid w:val="0093304B"/>
    <w:rsid w:val="00934224"/>
    <w:rsid w:val="00936071"/>
    <w:rsid w:val="00936F38"/>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07A6"/>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3DB7"/>
    <w:rsid w:val="009A40A2"/>
    <w:rsid w:val="009A4931"/>
    <w:rsid w:val="009A5858"/>
    <w:rsid w:val="009A5DBC"/>
    <w:rsid w:val="009A642A"/>
    <w:rsid w:val="009B0786"/>
    <w:rsid w:val="009B07CD"/>
    <w:rsid w:val="009B13FA"/>
    <w:rsid w:val="009B26F6"/>
    <w:rsid w:val="009B3827"/>
    <w:rsid w:val="009B647D"/>
    <w:rsid w:val="009B7B06"/>
    <w:rsid w:val="009C19E9"/>
    <w:rsid w:val="009D3B87"/>
    <w:rsid w:val="009D5198"/>
    <w:rsid w:val="009D5A5D"/>
    <w:rsid w:val="009D7467"/>
    <w:rsid w:val="009D74A6"/>
    <w:rsid w:val="009E0B98"/>
    <w:rsid w:val="009E0E87"/>
    <w:rsid w:val="009E10EF"/>
    <w:rsid w:val="009E2DC5"/>
    <w:rsid w:val="009E2F4E"/>
    <w:rsid w:val="009E5449"/>
    <w:rsid w:val="009E55AC"/>
    <w:rsid w:val="009E709B"/>
    <w:rsid w:val="009E7EC4"/>
    <w:rsid w:val="009F0195"/>
    <w:rsid w:val="009F2CB9"/>
    <w:rsid w:val="009F3043"/>
    <w:rsid w:val="009F445F"/>
    <w:rsid w:val="009F4AE1"/>
    <w:rsid w:val="00A00170"/>
    <w:rsid w:val="00A0066E"/>
    <w:rsid w:val="00A027CA"/>
    <w:rsid w:val="00A03496"/>
    <w:rsid w:val="00A10516"/>
    <w:rsid w:val="00A10ED3"/>
    <w:rsid w:val="00A10F02"/>
    <w:rsid w:val="00A10F2C"/>
    <w:rsid w:val="00A12E91"/>
    <w:rsid w:val="00A13227"/>
    <w:rsid w:val="00A204CA"/>
    <w:rsid w:val="00A209D6"/>
    <w:rsid w:val="00A22738"/>
    <w:rsid w:val="00A247E3"/>
    <w:rsid w:val="00A255A1"/>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1F2B"/>
    <w:rsid w:val="00A53724"/>
    <w:rsid w:val="00A54B2B"/>
    <w:rsid w:val="00A607F6"/>
    <w:rsid w:val="00A60806"/>
    <w:rsid w:val="00A6319E"/>
    <w:rsid w:val="00A6351A"/>
    <w:rsid w:val="00A64AFF"/>
    <w:rsid w:val="00A65054"/>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31E0"/>
    <w:rsid w:val="00AA4CA6"/>
    <w:rsid w:val="00AA4F5A"/>
    <w:rsid w:val="00AA51F6"/>
    <w:rsid w:val="00AA5A02"/>
    <w:rsid w:val="00AA610D"/>
    <w:rsid w:val="00AA6D24"/>
    <w:rsid w:val="00AB11DA"/>
    <w:rsid w:val="00AB20DF"/>
    <w:rsid w:val="00AB29AB"/>
    <w:rsid w:val="00AB2C03"/>
    <w:rsid w:val="00AB3296"/>
    <w:rsid w:val="00AB3DDD"/>
    <w:rsid w:val="00AB4454"/>
    <w:rsid w:val="00AB5823"/>
    <w:rsid w:val="00AB6344"/>
    <w:rsid w:val="00AC4D2C"/>
    <w:rsid w:val="00AC507F"/>
    <w:rsid w:val="00AC5D59"/>
    <w:rsid w:val="00AC6887"/>
    <w:rsid w:val="00AC6E95"/>
    <w:rsid w:val="00AD3082"/>
    <w:rsid w:val="00AD6A7F"/>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6F4"/>
    <w:rsid w:val="00B65060"/>
    <w:rsid w:val="00B657DE"/>
    <w:rsid w:val="00B65AA8"/>
    <w:rsid w:val="00B6672E"/>
    <w:rsid w:val="00B66E42"/>
    <w:rsid w:val="00B70804"/>
    <w:rsid w:val="00B710DA"/>
    <w:rsid w:val="00B726D8"/>
    <w:rsid w:val="00B72962"/>
    <w:rsid w:val="00B73674"/>
    <w:rsid w:val="00B7538C"/>
    <w:rsid w:val="00B75671"/>
    <w:rsid w:val="00B76953"/>
    <w:rsid w:val="00B8075F"/>
    <w:rsid w:val="00B84B49"/>
    <w:rsid w:val="00B84DB2"/>
    <w:rsid w:val="00B873FD"/>
    <w:rsid w:val="00B964C2"/>
    <w:rsid w:val="00B965D1"/>
    <w:rsid w:val="00BA18CB"/>
    <w:rsid w:val="00BA1A49"/>
    <w:rsid w:val="00BA2421"/>
    <w:rsid w:val="00BA55D1"/>
    <w:rsid w:val="00BA56A5"/>
    <w:rsid w:val="00BA56AC"/>
    <w:rsid w:val="00BB12BA"/>
    <w:rsid w:val="00BB15DE"/>
    <w:rsid w:val="00BB1F15"/>
    <w:rsid w:val="00BB242A"/>
    <w:rsid w:val="00BB2462"/>
    <w:rsid w:val="00BB2496"/>
    <w:rsid w:val="00BB3BBA"/>
    <w:rsid w:val="00BB7251"/>
    <w:rsid w:val="00BB7C42"/>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561"/>
    <w:rsid w:val="00C12B51"/>
    <w:rsid w:val="00C14248"/>
    <w:rsid w:val="00C14510"/>
    <w:rsid w:val="00C1493D"/>
    <w:rsid w:val="00C151D4"/>
    <w:rsid w:val="00C1670C"/>
    <w:rsid w:val="00C17021"/>
    <w:rsid w:val="00C20827"/>
    <w:rsid w:val="00C21AA8"/>
    <w:rsid w:val="00C23F90"/>
    <w:rsid w:val="00C243E1"/>
    <w:rsid w:val="00C24650"/>
    <w:rsid w:val="00C25465"/>
    <w:rsid w:val="00C25AEA"/>
    <w:rsid w:val="00C30859"/>
    <w:rsid w:val="00C31B5A"/>
    <w:rsid w:val="00C32649"/>
    <w:rsid w:val="00C33079"/>
    <w:rsid w:val="00C339E9"/>
    <w:rsid w:val="00C34F33"/>
    <w:rsid w:val="00C37298"/>
    <w:rsid w:val="00C424AD"/>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6F10"/>
    <w:rsid w:val="00C9068C"/>
    <w:rsid w:val="00C91F36"/>
    <w:rsid w:val="00C92831"/>
    <w:rsid w:val="00C92967"/>
    <w:rsid w:val="00C94794"/>
    <w:rsid w:val="00C965A1"/>
    <w:rsid w:val="00CA0FF2"/>
    <w:rsid w:val="00CA358C"/>
    <w:rsid w:val="00CA390E"/>
    <w:rsid w:val="00CA3D0C"/>
    <w:rsid w:val="00CA4156"/>
    <w:rsid w:val="00CA622F"/>
    <w:rsid w:val="00CA654B"/>
    <w:rsid w:val="00CA7092"/>
    <w:rsid w:val="00CB1002"/>
    <w:rsid w:val="00CB2E76"/>
    <w:rsid w:val="00CB3154"/>
    <w:rsid w:val="00CB40C7"/>
    <w:rsid w:val="00CB4772"/>
    <w:rsid w:val="00CB72B8"/>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0226"/>
    <w:rsid w:val="00D011CA"/>
    <w:rsid w:val="00D019F7"/>
    <w:rsid w:val="00D01A1A"/>
    <w:rsid w:val="00D020FC"/>
    <w:rsid w:val="00D038C1"/>
    <w:rsid w:val="00D06125"/>
    <w:rsid w:val="00D06188"/>
    <w:rsid w:val="00D12DDB"/>
    <w:rsid w:val="00D15F30"/>
    <w:rsid w:val="00D1769D"/>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7CAD"/>
    <w:rsid w:val="00D507E3"/>
    <w:rsid w:val="00D51036"/>
    <w:rsid w:val="00D51BE4"/>
    <w:rsid w:val="00D52FC5"/>
    <w:rsid w:val="00D552ED"/>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809"/>
    <w:rsid w:val="00D7685B"/>
    <w:rsid w:val="00D80795"/>
    <w:rsid w:val="00D81114"/>
    <w:rsid w:val="00D843A6"/>
    <w:rsid w:val="00D854BE"/>
    <w:rsid w:val="00D87009"/>
    <w:rsid w:val="00D87E00"/>
    <w:rsid w:val="00D9134D"/>
    <w:rsid w:val="00D92DA4"/>
    <w:rsid w:val="00D93832"/>
    <w:rsid w:val="00D93914"/>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D16AF"/>
    <w:rsid w:val="00DD3480"/>
    <w:rsid w:val="00DD4AC3"/>
    <w:rsid w:val="00DD5188"/>
    <w:rsid w:val="00DD64BE"/>
    <w:rsid w:val="00DD6910"/>
    <w:rsid w:val="00DD7FB2"/>
    <w:rsid w:val="00DE001F"/>
    <w:rsid w:val="00DE03D3"/>
    <w:rsid w:val="00DE0B51"/>
    <w:rsid w:val="00DE22A8"/>
    <w:rsid w:val="00DE25D2"/>
    <w:rsid w:val="00DE292B"/>
    <w:rsid w:val="00DE491C"/>
    <w:rsid w:val="00DF0B46"/>
    <w:rsid w:val="00DF218F"/>
    <w:rsid w:val="00DF3CF4"/>
    <w:rsid w:val="00DF4645"/>
    <w:rsid w:val="00DF478D"/>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589E"/>
    <w:rsid w:val="00E15BD7"/>
    <w:rsid w:val="00E16BF5"/>
    <w:rsid w:val="00E22129"/>
    <w:rsid w:val="00E223EE"/>
    <w:rsid w:val="00E24C00"/>
    <w:rsid w:val="00E253C2"/>
    <w:rsid w:val="00E262F2"/>
    <w:rsid w:val="00E26957"/>
    <w:rsid w:val="00E31765"/>
    <w:rsid w:val="00E37E4F"/>
    <w:rsid w:val="00E41B53"/>
    <w:rsid w:val="00E41C0F"/>
    <w:rsid w:val="00E41F8E"/>
    <w:rsid w:val="00E45739"/>
    <w:rsid w:val="00E4679C"/>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4C66"/>
    <w:rsid w:val="00E94D04"/>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C39"/>
    <w:rsid w:val="00EF0DB9"/>
    <w:rsid w:val="00EF612C"/>
    <w:rsid w:val="00F00357"/>
    <w:rsid w:val="00F00A10"/>
    <w:rsid w:val="00F01C6C"/>
    <w:rsid w:val="00F01C7D"/>
    <w:rsid w:val="00F025A2"/>
    <w:rsid w:val="00F03594"/>
    <w:rsid w:val="00F036E9"/>
    <w:rsid w:val="00F0382B"/>
    <w:rsid w:val="00F043D1"/>
    <w:rsid w:val="00F05D07"/>
    <w:rsid w:val="00F06D4E"/>
    <w:rsid w:val="00F07388"/>
    <w:rsid w:val="00F07939"/>
    <w:rsid w:val="00F10703"/>
    <w:rsid w:val="00F10BA3"/>
    <w:rsid w:val="00F10D4F"/>
    <w:rsid w:val="00F12DE6"/>
    <w:rsid w:val="00F12FEF"/>
    <w:rsid w:val="00F141DF"/>
    <w:rsid w:val="00F1460C"/>
    <w:rsid w:val="00F177BD"/>
    <w:rsid w:val="00F2026E"/>
    <w:rsid w:val="00F209BD"/>
    <w:rsid w:val="00F2210A"/>
    <w:rsid w:val="00F23E2E"/>
    <w:rsid w:val="00F247F6"/>
    <w:rsid w:val="00F25696"/>
    <w:rsid w:val="00F25CE3"/>
    <w:rsid w:val="00F26EB7"/>
    <w:rsid w:val="00F273DC"/>
    <w:rsid w:val="00F275A1"/>
    <w:rsid w:val="00F3039A"/>
    <w:rsid w:val="00F303CC"/>
    <w:rsid w:val="00F31372"/>
    <w:rsid w:val="00F341BE"/>
    <w:rsid w:val="00F3485F"/>
    <w:rsid w:val="00F34F8C"/>
    <w:rsid w:val="00F36DFC"/>
    <w:rsid w:val="00F37678"/>
    <w:rsid w:val="00F37743"/>
    <w:rsid w:val="00F40A33"/>
    <w:rsid w:val="00F41159"/>
    <w:rsid w:val="00F43661"/>
    <w:rsid w:val="00F438BB"/>
    <w:rsid w:val="00F44DF5"/>
    <w:rsid w:val="00F463C0"/>
    <w:rsid w:val="00F46B11"/>
    <w:rsid w:val="00F46F23"/>
    <w:rsid w:val="00F521FD"/>
    <w:rsid w:val="00F52DE9"/>
    <w:rsid w:val="00F54A3D"/>
    <w:rsid w:val="00F54CB0"/>
    <w:rsid w:val="00F55286"/>
    <w:rsid w:val="00F571A8"/>
    <w:rsid w:val="00F579CD"/>
    <w:rsid w:val="00F61EF6"/>
    <w:rsid w:val="00F633B4"/>
    <w:rsid w:val="00F642D7"/>
    <w:rsid w:val="00F64AA2"/>
    <w:rsid w:val="00F653B8"/>
    <w:rsid w:val="00F65A54"/>
    <w:rsid w:val="00F701EF"/>
    <w:rsid w:val="00F70270"/>
    <w:rsid w:val="00F703C6"/>
    <w:rsid w:val="00F71B89"/>
    <w:rsid w:val="00F72021"/>
    <w:rsid w:val="00F7353C"/>
    <w:rsid w:val="00F73CBD"/>
    <w:rsid w:val="00F74086"/>
    <w:rsid w:val="00F74553"/>
    <w:rsid w:val="00F758D2"/>
    <w:rsid w:val="00F76F8F"/>
    <w:rsid w:val="00F773EA"/>
    <w:rsid w:val="00F77B35"/>
    <w:rsid w:val="00F77CC7"/>
    <w:rsid w:val="00F77EE4"/>
    <w:rsid w:val="00F8332A"/>
    <w:rsid w:val="00F83C4F"/>
    <w:rsid w:val="00F84D86"/>
    <w:rsid w:val="00F86E4A"/>
    <w:rsid w:val="00F941DF"/>
    <w:rsid w:val="00F975E4"/>
    <w:rsid w:val="00FA1266"/>
    <w:rsid w:val="00FA2071"/>
    <w:rsid w:val="00FA3474"/>
    <w:rsid w:val="00FA3BA9"/>
    <w:rsid w:val="00FA44AE"/>
    <w:rsid w:val="00FA5036"/>
    <w:rsid w:val="00FA5E31"/>
    <w:rsid w:val="00FB0D7C"/>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C0F"/>
    <w:rsid w:val="00FE251B"/>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47"/>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E66C1-6665-4CDA-BB65-A527640AC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1685</Words>
  <Characters>9611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2024-05-10T04:46:00Z</dcterms:created>
  <dcterms:modified xsi:type="dcterms:W3CDTF">2024-05-10T04:53:00Z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